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2018年度新疆喀什地区英吉沙县人民政府部门决算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认真学习研究党的基本理论、基本路线、基本纲领，紧密联系本县实际，为县政府提出贯彻落实的意见，提供科学决策的依据和决策方案。增强“为领导服务、为机关服务、为基层服务”的三大职能，全面做好综合服务工作，确保信息畅通，上情及时下达、下情及时上达。</w:t>
      </w:r>
      <w:r>
        <w:rPr>
          <w:rFonts w:hint="eastAsia" w:ascii="仿宋_GB2312" w:eastAsia="仿宋_GB2312"/>
          <w:sz w:val="32"/>
          <w:szCs w:val="32"/>
        </w:rPr>
        <w:br w:type="textWrapping"/>
      </w:r>
      <w:r>
        <w:rPr>
          <w:rFonts w:hint="eastAsia" w:ascii="仿宋_GB2312" w:eastAsia="仿宋_GB2312"/>
          <w:sz w:val="32"/>
          <w:szCs w:val="32"/>
        </w:rPr>
        <w:t xml:space="preserve">    2、围绕县委、县政府各个时期的中心工作，领导关注的重大问题，开展调查研究，做好信息收集和反馈工作。</w:t>
      </w:r>
      <w:r>
        <w:rPr>
          <w:rFonts w:hint="eastAsia" w:ascii="仿宋_GB2312" w:eastAsia="仿宋_GB2312"/>
          <w:sz w:val="32"/>
          <w:szCs w:val="32"/>
        </w:rPr>
        <w:br w:type="textWrapping"/>
      </w:r>
      <w:r>
        <w:rPr>
          <w:rFonts w:hint="eastAsia" w:ascii="仿宋_GB2312" w:eastAsia="仿宋_GB2312"/>
          <w:sz w:val="32"/>
          <w:szCs w:val="32"/>
        </w:rPr>
        <w:t xml:space="preserve">    3、做好上级文件收发传递阅办及县政府公文的起草审定和阅译、分发、立卷、归档工作，推进公文工作的规范化、制度化、科学化。</w:t>
      </w:r>
      <w:r>
        <w:rPr>
          <w:rFonts w:hint="eastAsia" w:ascii="仿宋_GB2312" w:eastAsia="仿宋_GB2312"/>
          <w:sz w:val="32"/>
          <w:szCs w:val="32"/>
        </w:rPr>
        <w:br w:type="textWrapping"/>
      </w:r>
      <w:r>
        <w:rPr>
          <w:rFonts w:hint="eastAsia" w:ascii="仿宋_GB2312" w:eastAsia="仿宋_GB2312"/>
          <w:sz w:val="32"/>
          <w:szCs w:val="32"/>
        </w:rPr>
        <w:t xml:space="preserve">    4、负责政府系统的机要、保密工作，做好政府机关要电和普通电传的收发、呈送、传阅、立卷、归档工作。严格执行保密规定，严防失泄密事件的发生。</w:t>
      </w:r>
      <w:r>
        <w:rPr>
          <w:rFonts w:hint="eastAsia" w:ascii="仿宋_GB2312" w:eastAsia="仿宋_GB2312"/>
          <w:sz w:val="32"/>
          <w:szCs w:val="32"/>
        </w:rPr>
        <w:br w:type="textWrapping"/>
      </w:r>
      <w:r>
        <w:rPr>
          <w:rFonts w:hint="eastAsia" w:ascii="仿宋_GB2312" w:eastAsia="仿宋_GB2312"/>
          <w:sz w:val="32"/>
          <w:szCs w:val="32"/>
        </w:rPr>
        <w:t xml:space="preserve">    5、负责县政府全体会议、县长办公会议、政府常务会议、政府党组会议、政府民主生活会，县政府召开的各类工作会议的秘书、翻译、会务服务工作，组织实施会议决议。</w:t>
      </w:r>
      <w:r>
        <w:rPr>
          <w:rFonts w:hint="eastAsia" w:ascii="仿宋_GB2312" w:eastAsia="仿宋_GB2312"/>
          <w:sz w:val="32"/>
          <w:szCs w:val="32"/>
        </w:rPr>
        <w:br w:type="textWrapping"/>
      </w:r>
      <w:r>
        <w:rPr>
          <w:rFonts w:hint="eastAsia" w:ascii="仿宋_GB2312" w:eastAsia="仿宋_GB2312"/>
          <w:sz w:val="32"/>
          <w:szCs w:val="32"/>
        </w:rPr>
        <w:t xml:space="preserve">    6、根据领导指示和办文办会的需要，认真协调政府机关和各部门之间的关系，更好的完成县委、县政府的各项任务。</w:t>
      </w:r>
      <w:r>
        <w:rPr>
          <w:rFonts w:hint="eastAsia" w:ascii="仿宋_GB2312" w:eastAsia="仿宋_GB2312"/>
          <w:sz w:val="32"/>
          <w:szCs w:val="32"/>
        </w:rPr>
        <w:br w:type="textWrapping"/>
      </w:r>
      <w:r>
        <w:rPr>
          <w:rFonts w:hint="eastAsia" w:ascii="仿宋_GB2312" w:eastAsia="仿宋_GB2312"/>
          <w:sz w:val="32"/>
          <w:szCs w:val="32"/>
        </w:rPr>
        <w:t xml:space="preserve">    7、负责人大代表、政协委员对政府的建议、批评意见及提案的办理和答复工作。</w:t>
      </w:r>
      <w:r>
        <w:rPr>
          <w:rFonts w:hint="eastAsia" w:ascii="仿宋_GB2312" w:eastAsia="仿宋_GB2312"/>
          <w:sz w:val="32"/>
          <w:szCs w:val="32"/>
        </w:rPr>
        <w:br w:type="textWrapping"/>
      </w:r>
      <w:r>
        <w:rPr>
          <w:rFonts w:hint="eastAsia" w:ascii="仿宋_GB2312" w:eastAsia="仿宋_GB2312"/>
          <w:sz w:val="32"/>
          <w:szCs w:val="32"/>
        </w:rPr>
        <w:t xml:space="preserve">    8、负责法制办公室的工作。</w:t>
      </w:r>
      <w:r>
        <w:rPr>
          <w:rFonts w:hint="eastAsia" w:ascii="仿宋_GB2312" w:eastAsia="仿宋_GB2312"/>
          <w:sz w:val="32"/>
          <w:szCs w:val="32"/>
        </w:rPr>
        <w:br w:type="textWrapping"/>
      </w:r>
      <w:r>
        <w:rPr>
          <w:rFonts w:hint="eastAsia" w:ascii="仿宋_GB2312" w:eastAsia="仿宋_GB2312"/>
          <w:sz w:val="32"/>
          <w:szCs w:val="32"/>
        </w:rPr>
        <w:t xml:space="preserve">    9、统一管理政府机关的经费预算、物资分配、房产基建，副业收入及其它行政事务，负责机关纪律、机关政治学习、机关安全工作。</w:t>
      </w:r>
      <w:r>
        <w:rPr>
          <w:rFonts w:hint="eastAsia" w:ascii="仿宋_GB2312" w:eastAsia="仿宋_GB2312"/>
          <w:sz w:val="32"/>
          <w:szCs w:val="32"/>
        </w:rPr>
        <w:br w:type="textWrapping"/>
      </w:r>
      <w:r>
        <w:rPr>
          <w:rFonts w:hint="eastAsia" w:ascii="仿宋_GB2312" w:eastAsia="仿宋_GB2312"/>
          <w:sz w:val="32"/>
          <w:szCs w:val="32"/>
        </w:rPr>
        <w:t xml:space="preserve">    10、做好文书处理、会务接待工作。</w:t>
      </w:r>
      <w:r>
        <w:rPr>
          <w:rFonts w:hint="eastAsia" w:ascii="仿宋_GB2312" w:eastAsia="仿宋_GB2312"/>
          <w:sz w:val="32"/>
          <w:szCs w:val="32"/>
        </w:rPr>
        <w:br w:type="textWrapping"/>
      </w:r>
      <w:r>
        <w:rPr>
          <w:rFonts w:hint="eastAsia" w:ascii="仿宋_GB2312" w:eastAsia="仿宋_GB2312"/>
          <w:sz w:val="32"/>
          <w:szCs w:val="32"/>
        </w:rPr>
        <w:t xml:space="preserve">    11、负责协调相关部门做好我县各类突发公共事件的应急处理。</w:t>
      </w:r>
      <w:r>
        <w:rPr>
          <w:rFonts w:hint="eastAsia" w:ascii="仿宋_GB2312" w:eastAsia="仿宋_GB2312"/>
          <w:sz w:val="32"/>
          <w:szCs w:val="32"/>
        </w:rPr>
        <w:br w:type="textWrapping"/>
      </w:r>
      <w:r>
        <w:rPr>
          <w:rFonts w:hint="eastAsia" w:ascii="仿宋_GB2312" w:eastAsia="仿宋_GB2312"/>
          <w:sz w:val="32"/>
          <w:szCs w:val="32"/>
        </w:rPr>
        <w:t xml:space="preserve">    12、负责外事侨务工作。</w:t>
      </w:r>
      <w:r>
        <w:rPr>
          <w:rFonts w:hint="eastAsia" w:ascii="仿宋_GB2312" w:eastAsia="仿宋_GB2312"/>
          <w:sz w:val="32"/>
          <w:szCs w:val="32"/>
        </w:rPr>
        <w:br w:type="textWrapping"/>
      </w:r>
      <w:r>
        <w:rPr>
          <w:rFonts w:hint="eastAsia" w:ascii="仿宋_GB2312" w:eastAsia="仿宋_GB2312"/>
          <w:sz w:val="32"/>
          <w:szCs w:val="32"/>
        </w:rPr>
        <w:t xml:space="preserve">    13、负责全县的语言文字工作。</w:t>
      </w:r>
      <w:r>
        <w:rPr>
          <w:rFonts w:hint="eastAsia" w:ascii="仿宋_GB2312" w:eastAsia="仿宋_GB2312"/>
          <w:sz w:val="32"/>
          <w:szCs w:val="32"/>
        </w:rPr>
        <w:br w:type="textWrapping"/>
      </w:r>
      <w:r>
        <w:rPr>
          <w:rFonts w:hint="eastAsia" w:ascii="仿宋_GB2312" w:eastAsia="仿宋_GB2312"/>
          <w:sz w:val="32"/>
          <w:szCs w:val="32"/>
        </w:rPr>
        <w:t xml:space="preserve">    14、协助县政府领导处理突发事件和县政府领导交办的临时工作。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新疆喀什地区英吉沙县人民政府</w:t>
      </w:r>
      <w:r>
        <w:rPr>
          <w:rFonts w:hint="eastAsia" w:ascii="仿宋_GB2312" w:eastAsia="仿宋_GB2312"/>
          <w:sz w:val="32"/>
          <w:szCs w:val="32"/>
        </w:rPr>
        <w:t>部门决算包括：</w:t>
      </w:r>
      <w:r>
        <w:rPr>
          <w:rFonts w:ascii="仿宋_GB2312" w:eastAsia="仿宋_GB2312"/>
          <w:sz w:val="32"/>
          <w:szCs w:val="32"/>
        </w:rPr>
        <w:t>新疆喀什地区英吉沙县人民政府</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新疆喀什地区英吉沙县人民政府</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tbl>
      <w:tblPr>
        <w:tblStyle w:val="3"/>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序号</w:t>
            </w:r>
          </w:p>
        </w:tc>
        <w:tc>
          <w:tcPr>
            <w:tcW w:w="3870" w:type="dxa"/>
            <w:vAlign w:val="center"/>
          </w:tcPr>
          <w:p>
            <w:pPr>
              <w:spacing w:line="50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spacing w:line="500" w:lineRule="exact"/>
              <w:ind w:firstLine="640" w:firstLineChars="200"/>
              <w:jc w:val="left"/>
            </w:pPr>
            <w:r>
              <w:rPr>
                <w:rFonts w:eastAsia="Times New Roman"/>
                <w:color w:val="000000"/>
                <w:position w:val="-1"/>
                <w:sz w:val="32"/>
              </w:rPr>
              <w:t>1</w:t>
            </w:r>
          </w:p>
        </w:tc>
        <w:tc>
          <w:tcPr>
            <w:tcW w:w="3870" w:type="dxa"/>
          </w:tcPr>
          <w:p>
            <w:pPr>
              <w:spacing w:line="500" w:lineRule="exact"/>
              <w:ind w:firstLine="640" w:firstLineChars="200"/>
              <w:jc w:val="left"/>
            </w:pPr>
            <w:r>
              <w:rPr>
                <w:rFonts w:eastAsia="Times New Roman"/>
                <w:color w:val="000000"/>
                <w:position w:val="-1"/>
                <w:sz w:val="32"/>
              </w:rPr>
              <w:t>新疆喀什地区英吉沙县人民政府</w:t>
            </w:r>
          </w:p>
        </w:tc>
        <w:tc>
          <w:tcPr>
            <w:tcW w:w="2538" w:type="dxa"/>
            <w:vAlign w:val="center"/>
          </w:tcPr>
          <w:p>
            <w:pPr>
              <w:spacing w:line="500" w:lineRule="exact"/>
              <w:ind w:firstLine="420" w:firstLineChars="200"/>
              <w:jc w:val="left"/>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14:textFill>
            <w14:solidFill>
              <w14:schemeClr w14:val="tx1"/>
            </w14:solidFill>
          </w14:textFill>
        </w:rPr>
      </w:pPr>
      <w:bookmarkStart w:id="4" w:name="OLE_LINK99"/>
      <w:bookmarkStart w:id="5" w:name="OLE_LINK100"/>
      <w:bookmarkStart w:id="6" w:name="OLE_LINK52"/>
      <w:r>
        <w:rPr>
          <w:rFonts w:hint="eastAsia" w:ascii="仿宋_GB2312" w:eastAsia="仿宋_GB2312"/>
          <w:color w:val="000000" w:themeColor="text1"/>
          <w:sz w:val="32"/>
          <w:szCs w:val="32"/>
          <w14:textFill>
            <w14:solidFill>
              <w14:schemeClr w14:val="tx1"/>
            </w14:solidFill>
          </w14:textFill>
        </w:rPr>
        <w:t>2018年度收入</w:t>
      </w:r>
      <w:r>
        <w:rPr>
          <w:rFonts w:hint="eastAsia" w:ascii="仿宋_GB2312" w:eastAsia="仿宋_GB2312"/>
          <w:sz w:val="32"/>
          <w:szCs w:val="32"/>
        </w:rPr>
        <w:t>6,649.68</w:t>
      </w:r>
      <w:r>
        <w:rPr>
          <w:rFonts w:hint="eastAsia" w:ascii="仿宋_GB2312" w:eastAsia="仿宋_GB2312"/>
          <w:color w:val="000000" w:themeColor="text1"/>
          <w:sz w:val="32"/>
          <w:szCs w:val="32"/>
          <w14:textFill>
            <w14:solidFill>
              <w14:schemeClr w14:val="tx1"/>
            </w14:solidFill>
          </w14:textFill>
        </w:rPr>
        <w:t>万元</w:t>
      </w:r>
      <w:bookmarkEnd w:id="4"/>
      <w:bookmarkEnd w:id="5"/>
      <w:r>
        <w:rPr>
          <w:rFonts w:hint="eastAsia" w:ascii="仿宋_GB2312" w:eastAsia="仿宋_GB2312"/>
          <w:sz w:val="32"/>
          <w:szCs w:val="32"/>
        </w:rPr>
        <w:t>，与上年相比，减少10,107.28万元，下降60.32%，减少的主要原因是：</w:t>
      </w:r>
      <w:r>
        <w:rPr>
          <w:rFonts w:hint="eastAsia" w:ascii="仿宋_GB2312" w:eastAsia="仿宋_GB2312"/>
          <w:color w:val="000000" w:themeColor="text1"/>
          <w:sz w:val="32"/>
          <w:szCs w:val="32"/>
          <w14:textFill>
            <w14:solidFill>
              <w14:schemeClr w14:val="tx1"/>
            </w14:solidFill>
          </w14:textFill>
        </w:rPr>
        <w:t>取消保障性安居工程和扶贫大中型水库移民后期扶持专项减少；</w:t>
      </w:r>
      <w:bookmarkEnd w:id="6"/>
      <w:bookmarkStart w:id="7" w:name="OLE_LINK53"/>
      <w:r>
        <w:rPr>
          <w:rFonts w:hint="eastAsia" w:ascii="仿宋_GB2312" w:eastAsia="仿宋_GB2312"/>
          <w:color w:val="000000" w:themeColor="text1"/>
          <w:sz w:val="32"/>
          <w:szCs w:val="32"/>
          <w14:textFill>
            <w14:solidFill>
              <w14:schemeClr w14:val="tx1"/>
            </w14:solidFill>
          </w14:textFill>
        </w:rPr>
        <w:t>支出</w:t>
      </w:r>
      <w:r>
        <w:rPr>
          <w:rFonts w:hint="eastAsia" w:ascii="仿宋_GB2312" w:eastAsia="仿宋_GB2312"/>
          <w:sz w:val="32"/>
          <w:szCs w:val="32"/>
        </w:rPr>
        <w:t>6,649.68</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，与上年相比，减少10,107.28万元，下降60.32%，减少的主要原因是：</w:t>
      </w:r>
      <w:r>
        <w:rPr>
          <w:rFonts w:hint="eastAsia" w:ascii="仿宋_GB2312" w:eastAsia="仿宋_GB2312"/>
          <w:color w:val="000000" w:themeColor="text1"/>
          <w:sz w:val="32"/>
          <w:szCs w:val="32"/>
          <w14:textFill>
            <w14:solidFill>
              <w14:schemeClr w14:val="tx1"/>
            </w14:solidFill>
          </w14:textFill>
        </w:rPr>
        <w:t>取消保障性安居工程和扶贫大中型水库移民后期扶持专项减少；</w:t>
      </w:r>
      <w:bookmarkEnd w:id="7"/>
      <w:bookmarkStart w:id="8" w:name="OLE_LINK54"/>
      <w:r>
        <w:rPr>
          <w:rFonts w:hint="eastAsia" w:ascii="仿宋_GB2312" w:eastAsia="仿宋_GB2312"/>
          <w:sz w:val="32"/>
          <w:szCs w:val="32"/>
        </w:rPr>
        <w:t>结余0万元，与上年相比，减少0万元，降低0%。减少变化主要原因是：</w:t>
      </w:r>
      <w:r>
        <w:rPr>
          <w:rFonts w:ascii="仿宋_GB2312" w:eastAsia="仿宋_GB2312"/>
          <w:color w:val="000000" w:themeColor="text1"/>
          <w:sz w:val="32"/>
          <w:szCs w:val="32"/>
          <w14:textFill>
            <w14:solidFill>
              <w14:schemeClr w14:val="tx1"/>
            </w14:solidFill>
          </w14:textFill>
        </w:rPr>
        <w:t>资金使用到位，无结余。</w:t>
      </w:r>
    </w:p>
    <w:bookmarkEnd w:id="8"/>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本年收入合计</w:t>
      </w:r>
      <w:r>
        <w:rPr>
          <w:rFonts w:hint="eastAsia" w:ascii="仿宋_GB2312" w:eastAsia="仿宋_GB2312"/>
          <w:sz w:val="32"/>
          <w:szCs w:val="32"/>
        </w:rPr>
        <w:t>6,649.68</w:t>
      </w:r>
      <w:r>
        <w:rPr>
          <w:rFonts w:hint="eastAsia" w:ascii="仿宋_GB2312" w:eastAsia="仿宋_GB2312"/>
          <w:color w:val="000000" w:themeColor="text1"/>
          <w:sz w:val="32"/>
          <w:szCs w:val="32"/>
          <w14:textFill>
            <w14:solidFill>
              <w14:schemeClr w14:val="tx1"/>
            </w14:solidFill>
          </w14:textFill>
        </w:rPr>
        <w:t>万元，其中：</w:t>
      </w:r>
      <w:bookmarkStart w:id="9" w:name="OLE_LINK1"/>
      <w:r>
        <w:rPr>
          <w:rFonts w:hint="eastAsia" w:ascii="仿宋_GB2312" w:eastAsia="仿宋_GB2312"/>
          <w:color w:val="000000" w:themeColor="text1"/>
          <w:sz w:val="32"/>
          <w:szCs w:val="32"/>
          <w14:textFill>
            <w14:solidFill>
              <w14:schemeClr w14:val="tx1"/>
            </w14:solidFill>
          </w14:textFill>
        </w:rPr>
        <w:t>财政拨款收入</w:t>
      </w:r>
      <w:bookmarkEnd w:id="9"/>
      <w:r>
        <w:rPr>
          <w:rFonts w:hint="eastAsia" w:ascii="仿宋_GB2312" w:eastAsia="仿宋_GB2312"/>
          <w:sz w:val="32"/>
          <w:szCs w:val="32"/>
        </w:rPr>
        <w:t>5,344.76</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80.38%</w:t>
      </w:r>
      <w:r>
        <w:rPr>
          <w:rFonts w:hint="eastAsia" w:ascii="仿宋_GB2312" w:eastAsia="仿宋_GB2312"/>
          <w:color w:val="000000" w:themeColor="text1"/>
          <w:sz w:val="32"/>
          <w:szCs w:val="32"/>
          <w14:textFill>
            <w14:solidFill>
              <w14:schemeClr w14:val="tx1"/>
            </w14:solidFill>
          </w14:textFill>
        </w:rPr>
        <w:t>；</w:t>
      </w:r>
      <w:bookmarkStart w:id="10" w:name="OLE_LINK2"/>
      <w:r>
        <w:rPr>
          <w:rFonts w:hint="eastAsia" w:ascii="仿宋_GB2312" w:eastAsia="仿宋_GB2312"/>
          <w:color w:val="000000" w:themeColor="text1"/>
          <w:sz w:val="32"/>
          <w:szCs w:val="32"/>
          <w14:textFill>
            <w14:solidFill>
              <w14:schemeClr w14:val="tx1"/>
            </w14:solidFill>
          </w14:textFill>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w:t>
      </w:r>
      <w:bookmarkStart w:id="11" w:name="OLE_LINK3"/>
      <w:r>
        <w:rPr>
          <w:rFonts w:hint="eastAsia" w:ascii="仿宋_GB2312" w:eastAsia="仿宋_GB2312"/>
          <w:color w:val="000000" w:themeColor="text1"/>
          <w:sz w:val="32"/>
          <w:szCs w:val="32"/>
          <w14:textFill>
            <w14:solidFill>
              <w14:schemeClr w14:val="tx1"/>
            </w14:solidFill>
          </w14:textFill>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w:t>
      </w:r>
      <w:bookmarkStart w:id="12" w:name="OLE_LINK4"/>
      <w:r>
        <w:rPr>
          <w:rFonts w:hint="eastAsia" w:ascii="仿宋_GB2312" w:eastAsia="仿宋_GB2312"/>
          <w:color w:val="000000" w:themeColor="text1"/>
          <w:sz w:val="32"/>
          <w:szCs w:val="32"/>
          <w14:textFill>
            <w14:solidFill>
              <w14:schemeClr w14:val="tx1"/>
            </w14:solidFill>
          </w14:textFill>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w:t>
      </w:r>
      <w:bookmarkStart w:id="13" w:name="OLE_LINK5"/>
      <w:r>
        <w:rPr>
          <w:rFonts w:hint="eastAsia" w:ascii="仿宋_GB2312" w:eastAsia="仿宋_GB2312"/>
          <w:color w:val="000000" w:themeColor="text1"/>
          <w:sz w:val="32"/>
          <w:szCs w:val="32"/>
          <w14:textFill>
            <w14:solidFill>
              <w14:schemeClr w14:val="tx1"/>
            </w14:solidFill>
          </w14:textFill>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w:t>
      </w:r>
      <w:bookmarkStart w:id="14" w:name="OLE_LINK6"/>
      <w:r>
        <w:rPr>
          <w:rFonts w:hint="eastAsia" w:ascii="仿宋_GB2312" w:eastAsia="仿宋_GB2312"/>
          <w:color w:val="000000" w:themeColor="text1"/>
          <w:sz w:val="32"/>
          <w:szCs w:val="32"/>
          <w14:textFill>
            <w14:solidFill>
              <w14:schemeClr w14:val="tx1"/>
            </w14:solidFill>
          </w14:textFill>
        </w:rPr>
        <w:t>其他收入</w:t>
      </w:r>
      <w:bookmarkEnd w:id="14"/>
      <w:r>
        <w:rPr>
          <w:rFonts w:hint="eastAsia" w:ascii="仿宋_GB2312" w:eastAsia="仿宋_GB2312"/>
          <w:sz w:val="32"/>
          <w:szCs w:val="32"/>
        </w:rPr>
        <w:t>1,304.91</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19.62%</w:t>
      </w:r>
      <w:r>
        <w:rPr>
          <w:rFonts w:hint="eastAsia" w:ascii="仿宋_GB2312" w:eastAsia="仿宋_GB2312"/>
          <w:color w:val="000000" w:themeColor="text1"/>
          <w:sz w:val="32"/>
          <w:szCs w:val="32"/>
          <w14:textFill>
            <w14:solidFill>
              <w14:schemeClr w14:val="tx1"/>
            </w14:solidFill>
          </w14:textFill>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14:textFill>
            <w14:solidFill>
              <w14:schemeClr w14:val="tx1"/>
            </w14:solidFill>
          </w14:textFill>
        </w:rPr>
        <w:t>况：本年收入年初预算数32,654.58万元</w:t>
      </w:r>
      <w:r>
        <w:rPr>
          <w:rFonts w:hint="eastAsia" w:ascii="仿宋_GB2312" w:eastAsia="仿宋_GB2312"/>
          <w:sz w:val="32"/>
          <w:szCs w:val="32"/>
        </w:rPr>
        <w:t>，决算数6,649.68万元</w:t>
      </w:r>
      <w:r>
        <w:rPr>
          <w:rFonts w:ascii="仿宋_GB2312" w:eastAsia="仿宋_GB2312"/>
          <w:sz w:val="32"/>
          <w:szCs w:val="32"/>
        </w:rPr>
        <w:t>，预决算差异率-79.64%，差异主要原因是取消保障性安居工程和扶贫大中型水库移民后期扶持专项减少。</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14:textFill>
            <w14:solidFill>
              <w14:schemeClr w14:val="tx1"/>
            </w14:solidFill>
          </w14:textFill>
        </w:rPr>
      </w:pPr>
      <w:bookmarkStart w:id="16" w:name="OLE_LINK7"/>
      <w:r>
        <w:rPr>
          <w:rFonts w:hint="eastAsia" w:ascii="仿宋_GB2312" w:eastAsia="仿宋_GB2312"/>
          <w:color w:val="000000" w:themeColor="text1"/>
          <w:sz w:val="32"/>
          <w:szCs w:val="32"/>
          <w14:textFill>
            <w14:solidFill>
              <w14:schemeClr w14:val="tx1"/>
            </w14:solidFill>
          </w14:textFill>
        </w:rPr>
        <w:t>本年支出合计</w:t>
      </w:r>
      <w:bookmarkEnd w:id="16"/>
      <w:r>
        <w:rPr>
          <w:rFonts w:hint="eastAsia" w:ascii="仿宋_GB2312" w:eastAsia="仿宋_GB2312"/>
          <w:sz w:val="32"/>
          <w:szCs w:val="32"/>
        </w:rPr>
        <w:t>6,649.68</w:t>
      </w:r>
      <w:r>
        <w:rPr>
          <w:rFonts w:hint="eastAsia" w:ascii="仿宋_GB2312" w:eastAsia="仿宋_GB2312"/>
          <w:color w:val="000000" w:themeColor="text1"/>
          <w:sz w:val="32"/>
          <w:szCs w:val="32"/>
          <w14:textFill>
            <w14:solidFill>
              <w14:schemeClr w14:val="tx1"/>
            </w14:solidFill>
          </w14:textFill>
        </w:rPr>
        <w:t>万元，其中：</w:t>
      </w:r>
      <w:bookmarkStart w:id="17" w:name="OLE_LINK8"/>
      <w:r>
        <w:rPr>
          <w:rFonts w:hint="eastAsia" w:ascii="仿宋_GB2312" w:eastAsia="仿宋_GB2312"/>
          <w:color w:val="000000" w:themeColor="text1"/>
          <w:sz w:val="32"/>
          <w:szCs w:val="32"/>
          <w14:textFill>
            <w14:solidFill>
              <w14:schemeClr w14:val="tx1"/>
            </w14:solidFill>
          </w14:textFill>
        </w:rPr>
        <w:t>基本支出</w:t>
      </w:r>
      <w:bookmarkEnd w:id="17"/>
      <w:r>
        <w:rPr>
          <w:rFonts w:hint="eastAsia" w:ascii="仿宋_GB2312" w:eastAsia="仿宋_GB2312"/>
          <w:sz w:val="32"/>
          <w:szCs w:val="32"/>
        </w:rPr>
        <w:t>1,188.26</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17.87%</w:t>
      </w:r>
      <w:r>
        <w:rPr>
          <w:rFonts w:hint="eastAsia" w:ascii="仿宋_GB2312" w:eastAsia="仿宋_GB2312"/>
          <w:color w:val="000000" w:themeColor="text1"/>
          <w:sz w:val="32"/>
          <w:szCs w:val="32"/>
          <w14:textFill>
            <w14:solidFill>
              <w14:schemeClr w14:val="tx1"/>
            </w14:solidFill>
          </w14:textFill>
        </w:rPr>
        <w:t>；</w:t>
      </w:r>
      <w:bookmarkStart w:id="18" w:name="OLE_LINK9"/>
      <w:r>
        <w:rPr>
          <w:rFonts w:hint="eastAsia" w:ascii="仿宋_GB2312" w:eastAsia="仿宋_GB2312"/>
          <w:color w:val="000000" w:themeColor="text1"/>
          <w:sz w:val="32"/>
          <w:szCs w:val="32"/>
          <w14:textFill>
            <w14:solidFill>
              <w14:schemeClr w14:val="tx1"/>
            </w14:solidFill>
          </w14:textFill>
        </w:rPr>
        <w:t>项目支出</w:t>
      </w:r>
      <w:bookmarkEnd w:id="18"/>
      <w:r>
        <w:rPr>
          <w:rFonts w:hint="eastAsia" w:ascii="仿宋_GB2312" w:eastAsia="仿宋_GB2312"/>
          <w:sz w:val="32"/>
          <w:szCs w:val="32"/>
        </w:rPr>
        <w:t>5,461.42</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82.13%</w:t>
      </w:r>
      <w:r>
        <w:rPr>
          <w:rFonts w:hint="eastAsia" w:ascii="仿宋_GB2312" w:eastAsia="仿宋_GB2312"/>
          <w:color w:val="000000" w:themeColor="text1"/>
          <w:sz w:val="32"/>
          <w:szCs w:val="32"/>
          <w14:textFill>
            <w14:solidFill>
              <w14:schemeClr w14:val="tx1"/>
            </w14:solidFill>
          </w14:textFill>
        </w:rPr>
        <w:t>；</w:t>
      </w:r>
      <w:bookmarkStart w:id="19" w:name="OLE_LINK10"/>
      <w:r>
        <w:rPr>
          <w:rFonts w:hint="eastAsia" w:ascii="仿宋_GB2312" w:eastAsia="仿宋_GB2312"/>
          <w:color w:val="000000" w:themeColor="text1"/>
          <w:sz w:val="32"/>
          <w:szCs w:val="32"/>
          <w14:textFill>
            <w14:solidFill>
              <w14:schemeClr w14:val="tx1"/>
            </w14:solidFill>
          </w14:textFill>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w:t>
      </w:r>
      <w:bookmarkStart w:id="20" w:name="OLE_LINK11"/>
      <w:r>
        <w:rPr>
          <w:rFonts w:hint="eastAsia" w:ascii="仿宋_GB2312" w:eastAsia="仿宋_GB2312"/>
          <w:color w:val="000000" w:themeColor="text1"/>
          <w:spacing w:val="-6"/>
          <w:sz w:val="32"/>
          <w:szCs w:val="32"/>
          <w14:textFill>
            <w14:solidFill>
              <w14:schemeClr w14:val="tx1"/>
            </w14:solidFill>
          </w14:textFill>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14:textFill>
            <w14:solidFill>
              <w14:schemeClr w14:val="tx1"/>
            </w14:solidFill>
          </w14:textFill>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14:textFill>
            <w14:solidFill>
              <w14:schemeClr w14:val="tx1"/>
            </w14:solidFill>
          </w14:textFill>
        </w:rPr>
        <w:t>；</w:t>
      </w:r>
      <w:bookmarkStart w:id="21" w:name="OLE_LINK12"/>
      <w:r>
        <w:rPr>
          <w:rFonts w:hint="eastAsia" w:ascii="仿宋_GB2312" w:eastAsia="仿宋_GB2312"/>
          <w:color w:val="000000" w:themeColor="text1"/>
          <w:spacing w:val="-6"/>
          <w:sz w:val="32"/>
          <w:szCs w:val="32"/>
          <w14:textFill>
            <w14:solidFill>
              <w14:schemeClr w14:val="tx1"/>
            </w14:solidFill>
          </w14:textFill>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14:textFill>
            <w14:solidFill>
              <w14:schemeClr w14:val="tx1"/>
            </w14:solidFill>
          </w14:textFill>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14:textFill>
            <w14:solidFill>
              <w14:schemeClr w14:val="tx1"/>
            </w14:solidFill>
          </w14:textFill>
        </w:rPr>
        <w:t>与年初预算数相比情况：本年支出年初预算数32,654.58万元，</w:t>
      </w:r>
      <w:r>
        <w:rPr>
          <w:rFonts w:hint="eastAsia" w:ascii="仿宋_GB2312" w:eastAsia="仿宋_GB2312"/>
          <w:sz w:val="32"/>
          <w:szCs w:val="32"/>
        </w:rPr>
        <w:t>决算数6,649.68万元</w:t>
      </w:r>
      <w:r>
        <w:rPr>
          <w:rFonts w:ascii="仿宋_GB2312" w:eastAsia="仿宋_GB2312"/>
          <w:sz w:val="32"/>
          <w:szCs w:val="32"/>
        </w:rPr>
        <w:t>，预决算差异率-79.64%，差异主要原因是取消保障性安居工程和扶贫大中型水库移民后期扶持专项减少。</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sz w:val="32"/>
          <w:szCs w:val="32"/>
        </w:rPr>
      </w:pPr>
      <w:bookmarkStart w:id="23" w:name="OLE_LINK57"/>
      <w:bookmarkStart w:id="24" w:name="OLE_LINK58"/>
      <w:r>
        <w:rPr>
          <w:rFonts w:hint="eastAsia" w:ascii="仿宋_GB2312" w:eastAsia="仿宋_GB2312"/>
          <w:color w:val="000000" w:themeColor="text1"/>
          <w:sz w:val="32"/>
          <w:szCs w:val="32"/>
          <w14:textFill>
            <w14:solidFill>
              <w14:schemeClr w14:val="tx1"/>
            </w14:solidFill>
          </w14:textFill>
        </w:rPr>
        <w:t>2018年度</w:t>
      </w:r>
      <w:bookmarkStart w:id="25" w:name="OLE_LINK13"/>
      <w:r>
        <w:rPr>
          <w:rFonts w:hint="eastAsia" w:ascii="仿宋_GB2312" w:eastAsia="仿宋_GB2312"/>
          <w:color w:val="000000" w:themeColor="text1"/>
          <w:sz w:val="32"/>
          <w:szCs w:val="32"/>
          <w14:textFill>
            <w14:solidFill>
              <w14:schemeClr w14:val="tx1"/>
            </w14:solidFill>
          </w14:textFill>
        </w:rPr>
        <w:t>财政拨款收入</w:t>
      </w:r>
      <w:bookmarkEnd w:id="25"/>
      <w:r>
        <w:rPr>
          <w:rFonts w:hint="eastAsia" w:ascii="仿宋_GB2312" w:eastAsia="仿宋_GB2312"/>
          <w:sz w:val="32"/>
          <w:szCs w:val="32"/>
        </w:rPr>
        <w:t>5,344.76</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，与上年相比，减少11,412.2万元，下降68.1%，减少的主要原因是：取消保障性安居工程和扶贫大中型水库移民后期扶持专项减少。</w:t>
      </w:r>
      <w:bookmarkEnd w:id="23"/>
      <w:bookmarkEnd w:id="24"/>
      <w:bookmarkStart w:id="26" w:name="OLE_LINK14"/>
      <w:bookmarkStart w:id="27" w:name="OLE_LINK60"/>
      <w:bookmarkStart w:id="28" w:name="OLE_LINK59"/>
      <w:r>
        <w:rPr>
          <w:rFonts w:hint="eastAsia" w:ascii="仿宋_GB2312" w:eastAsia="仿宋_GB2312"/>
          <w:color w:val="000000" w:themeColor="text1"/>
          <w:sz w:val="32"/>
          <w:szCs w:val="32"/>
          <w14:textFill>
            <w14:solidFill>
              <w14:schemeClr w14:val="tx1"/>
            </w14:solidFill>
          </w14:textFill>
        </w:rPr>
        <w:t>财政拨款支出</w:t>
      </w:r>
      <w:bookmarkEnd w:id="26"/>
      <w:r>
        <w:rPr>
          <w:rFonts w:hint="eastAsia" w:ascii="仿宋_GB2312" w:eastAsia="仿宋_GB2312"/>
          <w:sz w:val="32"/>
          <w:szCs w:val="32"/>
        </w:rPr>
        <w:t>5,344.76</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，与上年相比，减少11,412.2万元，下降68.1%，减少的主要原因是：</w:t>
      </w:r>
      <w:r>
        <w:rPr>
          <w:rFonts w:ascii="仿宋_GB2312" w:eastAsia="仿宋_GB2312"/>
          <w:sz w:val="32"/>
          <w:szCs w:val="32"/>
        </w:rPr>
        <w:t>取消保障性安居工程和扶贫大中型水库移民后期扶持专项减少。</w:t>
      </w:r>
      <w:bookmarkEnd w:id="27"/>
      <w:bookmarkEnd w:id="28"/>
      <w:bookmarkStart w:id="29" w:name="OLE_LINK61"/>
      <w:r>
        <w:rPr>
          <w:rFonts w:hint="eastAsia" w:ascii="仿宋_GB2312" w:eastAsia="仿宋_GB2312"/>
          <w:color w:val="000000" w:themeColor="text1"/>
          <w:sz w:val="32"/>
          <w:szCs w:val="32"/>
          <w14:textFill>
            <w14:solidFill>
              <w14:schemeClr w14:val="tx1"/>
            </w14:solidFill>
          </w14:textFill>
        </w:rPr>
        <w:t>其中：</w:t>
      </w:r>
      <w:bookmarkStart w:id="30" w:name="OLE_LINK15"/>
      <w:r>
        <w:rPr>
          <w:rFonts w:hint="eastAsia" w:ascii="仿宋_GB2312" w:eastAsia="仿宋_GB2312"/>
          <w:color w:val="000000" w:themeColor="text1"/>
          <w:sz w:val="32"/>
          <w:szCs w:val="32"/>
          <w14:textFill>
            <w14:solidFill>
              <w14:schemeClr w14:val="tx1"/>
            </w14:solidFill>
          </w14:textFill>
        </w:rPr>
        <w:t>基本支出</w:t>
      </w:r>
      <w:bookmarkEnd w:id="30"/>
      <w:r>
        <w:rPr>
          <w:rFonts w:hint="eastAsia" w:ascii="仿宋_GB2312" w:eastAsia="仿宋_GB2312"/>
          <w:sz w:val="32"/>
          <w:szCs w:val="32"/>
        </w:rPr>
        <w:t>1,103.93</w:t>
      </w:r>
      <w:r>
        <w:rPr>
          <w:rFonts w:hint="eastAsia" w:ascii="仿宋_GB2312" w:eastAsia="仿宋_GB2312"/>
          <w:color w:val="000000" w:themeColor="text1"/>
          <w:sz w:val="32"/>
          <w:szCs w:val="32"/>
          <w14:textFill>
            <w14:solidFill>
              <w14:schemeClr w14:val="tx1"/>
            </w14:solidFill>
          </w14:textFill>
        </w:rPr>
        <w:t>万元，项目支出</w:t>
      </w:r>
      <w:r>
        <w:rPr>
          <w:rFonts w:hint="eastAsia" w:ascii="仿宋_GB2312" w:eastAsia="仿宋_GB2312"/>
          <w:sz w:val="32"/>
          <w:szCs w:val="32"/>
        </w:rPr>
        <w:t>4,240.83</w:t>
      </w:r>
      <w:r>
        <w:rPr>
          <w:rFonts w:hint="eastAsia" w:ascii="仿宋_GB2312" w:eastAsia="仿宋_GB2312"/>
          <w:color w:val="000000" w:themeColor="text1"/>
          <w:sz w:val="32"/>
          <w:szCs w:val="32"/>
          <w14:textFill>
            <w14:solidFill>
              <w14:schemeClr w14:val="tx1"/>
            </w14:solidFill>
          </w14:textFill>
        </w:rPr>
        <w:t>万元。</w:t>
      </w:r>
      <w:bookmarkStart w:id="31" w:name="OLE_LINK16"/>
      <w:r>
        <w:rPr>
          <w:rFonts w:hint="eastAsia" w:ascii="仿宋_GB2312" w:eastAsia="仿宋_GB2312"/>
          <w:sz w:val="32"/>
          <w:szCs w:val="32"/>
        </w:rPr>
        <w:t>财政拨款结转结余0万元，与上年相比，减少0万元，降低0%。增减变化的主要原因是：资金使用到位，无结余。</w:t>
      </w:r>
      <w:bookmarkEnd w:id="29"/>
      <w:bookmarkEnd w:id="31"/>
      <w:bookmarkStart w:id="32" w:name="OLE_LINK62"/>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与年初预算数相比情况：财政拨款收入年初预算数</w:t>
      </w:r>
      <w:r>
        <w:rPr>
          <w:rFonts w:ascii="仿宋_GB2312" w:eastAsia="仿宋_GB2312"/>
          <w:color w:val="000000" w:themeColor="text1"/>
          <w:sz w:val="32"/>
          <w:szCs w:val="32"/>
          <w14:textFill>
            <w14:solidFill>
              <w14:schemeClr w14:val="tx1"/>
            </w14:solidFill>
          </w14:textFill>
        </w:rPr>
        <w:t>32,654.58</w:t>
      </w:r>
      <w:r>
        <w:rPr>
          <w:rFonts w:hint="eastAsia" w:ascii="仿宋_GB2312" w:eastAsia="仿宋_GB2312"/>
          <w:color w:val="000000" w:themeColor="text1"/>
          <w:sz w:val="32"/>
          <w:szCs w:val="32"/>
          <w14:textFill>
            <w14:solidFill>
              <w14:schemeClr w14:val="tx1"/>
            </w14:solidFill>
          </w14:textFill>
        </w:rPr>
        <w:t>万元，决算数</w:t>
      </w:r>
      <w:r>
        <w:rPr>
          <w:rFonts w:hint="eastAsia" w:ascii="仿宋_GB2312" w:eastAsia="仿宋_GB2312"/>
          <w:sz w:val="32"/>
          <w:szCs w:val="32"/>
        </w:rPr>
        <w:t>5,344.76</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，预决算差异率-83.63%，差异主要原因是取消保障性安居工程和扶贫大中型水库移民后期扶持专项减少。</w:t>
      </w:r>
      <w:bookmarkEnd w:id="32"/>
      <w:bookmarkStart w:id="33" w:name="OLE_LINK63"/>
      <w:r>
        <w:rPr>
          <w:rFonts w:hint="eastAsia" w:ascii="仿宋_GB2312" w:eastAsia="仿宋_GB2312"/>
          <w:color w:val="000000" w:themeColor="text1"/>
          <w:sz w:val="32"/>
          <w:szCs w:val="32"/>
          <w14:textFill>
            <w14:solidFill>
              <w14:schemeClr w14:val="tx1"/>
            </w14:solidFill>
          </w14:textFill>
        </w:rPr>
        <w:t>财政拨款支出年初预算数</w:t>
      </w:r>
      <w:r>
        <w:rPr>
          <w:rFonts w:ascii="仿宋_GB2312" w:eastAsia="仿宋_GB2312"/>
          <w:color w:val="000000" w:themeColor="text1"/>
          <w:sz w:val="32"/>
          <w:szCs w:val="32"/>
          <w14:textFill>
            <w14:solidFill>
              <w14:schemeClr w14:val="tx1"/>
            </w14:solidFill>
          </w14:textFill>
        </w:rPr>
        <w:t>32,654.58</w:t>
      </w:r>
      <w:r>
        <w:rPr>
          <w:rFonts w:hint="eastAsia" w:ascii="仿宋_GB2312" w:eastAsia="仿宋_GB2312"/>
          <w:color w:val="000000" w:themeColor="text1"/>
          <w:sz w:val="32"/>
          <w:szCs w:val="32"/>
          <w14:textFill>
            <w14:solidFill>
              <w14:schemeClr w14:val="tx1"/>
            </w14:solidFill>
          </w14:textFill>
        </w:rPr>
        <w:t>万元，决算数</w:t>
      </w:r>
      <w:r>
        <w:rPr>
          <w:rFonts w:hint="eastAsia" w:ascii="仿宋_GB2312" w:eastAsia="仿宋_GB2312"/>
          <w:sz w:val="32"/>
          <w:szCs w:val="32"/>
        </w:rPr>
        <w:t>5,344.76</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，预决算差异率-83.63%，差异主要原因是取消保障性安居工程和扶贫大中型水库移民后期扶持专项减少。</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34" w:name="OLE_LINK64"/>
      <w:r>
        <w:rPr>
          <w:rFonts w:hint="eastAsia" w:ascii="仿宋_GB2312" w:eastAsia="仿宋_GB2312"/>
          <w:color w:val="000000" w:themeColor="text1"/>
          <w:sz w:val="32"/>
          <w:szCs w:val="32"/>
          <w14:textFill>
            <w14:solidFill>
              <w14:schemeClr w14:val="tx1"/>
            </w14:solidFill>
          </w14:textFill>
        </w:rPr>
        <w:t>2018年度</w:t>
      </w:r>
      <w:bookmarkStart w:id="35" w:name="OLE_LINK17"/>
      <w:r>
        <w:rPr>
          <w:rFonts w:hint="eastAsia" w:ascii="仿宋_GB2312" w:eastAsia="仿宋_GB2312"/>
          <w:color w:val="000000" w:themeColor="text1"/>
          <w:sz w:val="32"/>
          <w:szCs w:val="32"/>
          <w14:textFill>
            <w14:solidFill>
              <w14:schemeClr w14:val="tx1"/>
            </w14:solidFill>
          </w14:textFill>
        </w:rPr>
        <w:t>一般公共预算财政拨款收入</w:t>
      </w:r>
      <w:bookmarkEnd w:id="35"/>
      <w:r>
        <w:rPr>
          <w:rFonts w:ascii="仿宋_GB2312" w:eastAsia="仿宋_GB2312"/>
          <w:color w:val="000000" w:themeColor="text1"/>
          <w:sz w:val="32"/>
          <w:szCs w:val="32"/>
          <w14:textFill>
            <w14:solidFill>
              <w14:schemeClr w14:val="tx1"/>
            </w14:solidFill>
          </w14:textFill>
        </w:rPr>
        <w:t>5,291.76</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，与上年相比，减少11,465.2万元，下降68.42%，减少的主要原因是：取消保障性安居工程和扶贫大中型水库移民后期扶持专项减少。</w:t>
      </w:r>
      <w:bookmarkEnd w:id="34"/>
      <w:bookmarkStart w:id="36" w:name="OLE_LINK18"/>
      <w:bookmarkStart w:id="37" w:name="OLE_LINK65"/>
      <w:r>
        <w:rPr>
          <w:rFonts w:hint="eastAsia" w:ascii="仿宋_GB2312" w:eastAsia="仿宋_GB2312"/>
          <w:color w:val="000000" w:themeColor="text1"/>
          <w:sz w:val="32"/>
          <w:szCs w:val="32"/>
          <w14:textFill>
            <w14:solidFill>
              <w14:schemeClr w14:val="tx1"/>
            </w14:solidFill>
          </w14:textFill>
        </w:rPr>
        <w:t>一般公共预算财政拨款支出</w:t>
      </w:r>
      <w:r>
        <w:rPr>
          <w:rFonts w:hint="eastAsia" w:ascii="仿宋_GB2312" w:eastAsia="仿宋_GB2312"/>
          <w:sz w:val="32"/>
          <w:szCs w:val="32"/>
        </w:rPr>
        <w:t>5,291.76</w:t>
      </w:r>
      <w:r>
        <w:rPr>
          <w:rFonts w:hint="eastAsia" w:ascii="仿宋_GB2312" w:eastAsia="仿宋_GB2312"/>
          <w:color w:val="000000" w:themeColor="text1"/>
          <w:sz w:val="32"/>
          <w:szCs w:val="32"/>
          <w14:textFill>
            <w14:solidFill>
              <w14:schemeClr w14:val="tx1"/>
            </w14:solidFill>
          </w14:textFill>
        </w:rPr>
        <w:t>万元</w:t>
      </w:r>
      <w:bookmarkEnd w:id="36"/>
      <w:r>
        <w:rPr>
          <w:rFonts w:hint="eastAsia" w:ascii="仿宋_GB2312" w:eastAsia="仿宋_GB2312"/>
          <w:sz w:val="32"/>
          <w:szCs w:val="32"/>
        </w:rPr>
        <w:t>，与上年相比，减少11,465.2万元，下降68.42%，减少的主要原因是：取消保障性安居工程和扶贫大中型水库移民后期扶持专项减少。</w:t>
      </w:r>
      <w:bookmarkEnd w:id="37"/>
      <w:r>
        <w:rPr>
          <w:rFonts w:hint="eastAsia" w:ascii="仿宋_GB2312" w:eastAsia="仿宋_GB2312"/>
          <w:color w:val="000000" w:themeColor="text1"/>
          <w:sz w:val="32"/>
          <w:szCs w:val="32"/>
          <w14:textFill>
            <w14:solidFill>
              <w14:schemeClr w14:val="tx1"/>
            </w14:solidFill>
          </w14:textFill>
        </w:rPr>
        <w:t>其中：</w:t>
      </w:r>
      <w:bookmarkStart w:id="38" w:name="OLE_LINK19"/>
      <w:r>
        <w:rPr>
          <w:rFonts w:hint="eastAsia" w:ascii="仿宋_GB2312" w:eastAsia="仿宋_GB2312"/>
          <w:color w:val="000000" w:themeColor="text1"/>
          <w:sz w:val="32"/>
          <w:szCs w:val="32"/>
          <w14:textFill>
            <w14:solidFill>
              <w14:schemeClr w14:val="tx1"/>
            </w14:solidFill>
          </w14:textFill>
        </w:rPr>
        <w:t>按功能分类科目（按类级科目公开）</w:t>
      </w:r>
      <w:bookmarkEnd w:id="38"/>
      <w:r>
        <w:rPr>
          <w:rFonts w:hint="eastAsia" w:ascii="仿宋_GB2312" w:eastAsia="仿宋_GB2312"/>
          <w:color w:val="000000" w:themeColor="text1"/>
          <w:sz w:val="32"/>
          <w:szCs w:val="32"/>
          <w14:textFill>
            <w14:solidFill>
              <w14:schemeClr w14:val="tx1"/>
            </w14:solidFill>
          </w14:textFill>
        </w:rPr>
        <w:t>，</w:t>
      </w:r>
      <w:r>
        <w:rPr>
          <w:rFonts w:hint="eastAsia" w:ascii="仿宋_GB2312" w:eastAsia="仿宋_GB2312"/>
          <w:sz w:val="32"/>
          <w:szCs w:val="32"/>
        </w:rPr>
        <w:t>住房保障支出60.69万元,节能环保支出3.75万元,一般公共服务支出1,046.07万元,农林水支出4,086.04万元,社会保障和就业支出95.21万元。</w:t>
      </w:r>
      <w:bookmarkStart w:id="39" w:name="OLE_LINK20"/>
      <w:bookmarkStart w:id="40" w:name="OLE_LINK21"/>
      <w:r>
        <w:rPr>
          <w:rFonts w:hint="eastAsia" w:ascii="仿宋_GB2312" w:eastAsia="仿宋_GB2312"/>
          <w:color w:val="000000" w:themeColor="text1"/>
          <w:sz w:val="32"/>
          <w:szCs w:val="32"/>
          <w14:textFill>
            <w14:solidFill>
              <w14:schemeClr w14:val="tx1"/>
            </w14:solidFill>
          </w14:textFill>
        </w:rPr>
        <w:t>按经济分类科目</w:t>
      </w:r>
      <w:bookmarkEnd w:id="39"/>
      <w:r>
        <w:rPr>
          <w:rFonts w:hint="eastAsia" w:ascii="仿宋_GB2312" w:eastAsia="仿宋_GB2312"/>
          <w:color w:val="000000" w:themeColor="text1"/>
          <w:sz w:val="32"/>
          <w:szCs w:val="32"/>
          <w14:textFill>
            <w14:solidFill>
              <w14:schemeClr w14:val="tx1"/>
            </w14:solidFill>
          </w14:textFill>
        </w:rPr>
        <w:t>（按类级科目公开）</w:t>
      </w:r>
      <w:bookmarkEnd w:id="40"/>
      <w:r>
        <w:rPr>
          <w:rFonts w:hint="eastAsia" w:ascii="仿宋_GB2312" w:eastAsia="仿宋_GB2312"/>
          <w:color w:val="000000" w:themeColor="text1"/>
          <w:sz w:val="32"/>
          <w:szCs w:val="32"/>
          <w14:textFill>
            <w14:solidFill>
              <w14:schemeClr w14:val="tx1"/>
            </w14:solidFill>
          </w14:textFill>
        </w:rPr>
        <w:t>，</w:t>
      </w:r>
      <w:r>
        <w:rPr>
          <w:rFonts w:hint="eastAsia" w:ascii="仿宋_GB2312" w:eastAsia="仿宋_GB2312"/>
          <w:sz w:val="32"/>
          <w:szCs w:val="32"/>
        </w:rPr>
        <w:t>工资福利支出875.22万元,商品和服务支出222.21万元,对个人和家庭的补助支出127.56万元，资本性支出2,302.77万元,对企业补助1,764.00万元。</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41" w:name="OLE_LINK66"/>
      <w:bookmarkStart w:id="42" w:name="OLE_LINK67"/>
      <w:r>
        <w:rPr>
          <w:rFonts w:hint="eastAsia" w:ascii="仿宋_GB2312" w:eastAsia="仿宋_GB2312"/>
          <w:color w:val="000000" w:themeColor="text1"/>
          <w:sz w:val="32"/>
          <w:szCs w:val="32"/>
          <w14:textFill>
            <w14:solidFill>
              <w14:schemeClr w14:val="tx1"/>
            </w14:solidFill>
          </w14:textFill>
        </w:rPr>
        <w:t>与年初预算数相比情况：一般公共预算财政拨款收入年初预算数</w:t>
      </w:r>
      <w:r>
        <w:rPr>
          <w:rFonts w:ascii="仿宋_GB2312" w:eastAsia="仿宋_GB2312"/>
          <w:color w:val="000000" w:themeColor="text1"/>
          <w:sz w:val="32"/>
          <w:szCs w:val="32"/>
          <w14:textFill>
            <w14:solidFill>
              <w14:schemeClr w14:val="tx1"/>
            </w14:solidFill>
          </w14:textFill>
        </w:rPr>
        <w:t>32,601.58</w:t>
      </w:r>
      <w:r>
        <w:rPr>
          <w:rFonts w:hint="eastAsia" w:ascii="仿宋_GB2312" w:eastAsia="仿宋_GB2312"/>
          <w:color w:val="000000" w:themeColor="text1"/>
          <w:sz w:val="32"/>
          <w:szCs w:val="32"/>
          <w14:textFill>
            <w14:solidFill>
              <w14:schemeClr w14:val="tx1"/>
            </w14:solidFill>
          </w14:textFill>
        </w:rPr>
        <w:t>万元，决算数</w:t>
      </w:r>
      <w:r>
        <w:rPr>
          <w:rFonts w:ascii="仿宋_GB2312" w:eastAsia="仿宋_GB2312"/>
          <w:color w:val="000000" w:themeColor="text1"/>
          <w:sz w:val="32"/>
          <w:szCs w:val="32"/>
          <w14:textFill>
            <w14:solidFill>
              <w14:schemeClr w14:val="tx1"/>
            </w14:solidFill>
          </w14:textFill>
        </w:rPr>
        <w:t>5,291.76</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，预决算差异率-83.77%，差异主要原因是取消保障性安居工程和扶贫大中型水库移民后期扶持专项减少。</w:t>
      </w:r>
      <w:bookmarkEnd w:id="41"/>
      <w:bookmarkEnd w:id="42"/>
      <w:bookmarkStart w:id="43" w:name="OLE_LINK68"/>
      <w:r>
        <w:rPr>
          <w:rFonts w:hint="eastAsia" w:ascii="仿宋_GB2312" w:eastAsia="仿宋_GB2312"/>
          <w:color w:val="000000" w:themeColor="text1"/>
          <w:sz w:val="32"/>
          <w:szCs w:val="32"/>
          <w14:textFill>
            <w14:solidFill>
              <w14:schemeClr w14:val="tx1"/>
            </w14:solidFill>
          </w14:textFill>
        </w:rPr>
        <w:t>一般公共预算财政拨款支出年初预算数</w:t>
      </w:r>
      <w:r>
        <w:rPr>
          <w:rFonts w:ascii="仿宋_GB2312" w:eastAsia="仿宋_GB2312"/>
          <w:color w:val="000000" w:themeColor="text1"/>
          <w:sz w:val="32"/>
          <w:szCs w:val="32"/>
          <w14:textFill>
            <w14:solidFill>
              <w14:schemeClr w14:val="tx1"/>
            </w14:solidFill>
          </w14:textFill>
        </w:rPr>
        <w:t>32,601.58</w:t>
      </w:r>
      <w:r>
        <w:rPr>
          <w:rFonts w:hint="eastAsia" w:ascii="仿宋_GB2312" w:eastAsia="仿宋_GB2312"/>
          <w:color w:val="000000" w:themeColor="text1"/>
          <w:sz w:val="32"/>
          <w:szCs w:val="32"/>
          <w14:textFill>
            <w14:solidFill>
              <w14:schemeClr w14:val="tx1"/>
            </w14:solidFill>
          </w14:textFill>
        </w:rPr>
        <w:t>万元，决算数</w:t>
      </w:r>
      <w:r>
        <w:rPr>
          <w:rFonts w:ascii="仿宋_GB2312" w:eastAsia="仿宋_GB2312"/>
          <w:color w:val="000000" w:themeColor="text1"/>
          <w:sz w:val="32"/>
          <w:szCs w:val="32"/>
          <w14:textFill>
            <w14:solidFill>
              <w14:schemeClr w14:val="tx1"/>
            </w14:solidFill>
          </w14:textFill>
        </w:rPr>
        <w:t>5,291.76</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，预决算差异率-83.77%，差异主要原因是取消保障性安居工程和扶贫大中型水库移民后期扶持专项减少。</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44" w:name="OLE_LINK69"/>
      <w:r>
        <w:rPr>
          <w:rFonts w:hint="eastAsia" w:ascii="仿宋_GB2312" w:eastAsia="仿宋_GB2312"/>
          <w:color w:val="000000" w:themeColor="text1"/>
          <w:sz w:val="32"/>
          <w:szCs w:val="32"/>
          <w14:textFill>
            <w14:solidFill>
              <w14:schemeClr w14:val="tx1"/>
            </w14:solidFill>
          </w14:textFill>
        </w:rPr>
        <w:t>2018年度</w:t>
      </w:r>
      <w:bookmarkStart w:id="45" w:name="OLE_LINK22"/>
      <w:r>
        <w:rPr>
          <w:rFonts w:hint="eastAsia" w:ascii="仿宋_GB2312" w:eastAsia="仿宋_GB2312"/>
          <w:color w:val="000000" w:themeColor="text1"/>
          <w:sz w:val="32"/>
          <w:szCs w:val="32"/>
          <w14:textFill>
            <w14:solidFill>
              <w14:schemeClr w14:val="tx1"/>
            </w14:solidFill>
          </w14:textFill>
        </w:rPr>
        <w:t>政府性基金预算财政拨款收入</w:t>
      </w:r>
      <w:bookmarkEnd w:id="45"/>
      <w:r>
        <w:rPr>
          <w:rFonts w:hint="eastAsia" w:ascii="仿宋_GB2312" w:eastAsia="仿宋_GB2312"/>
          <w:sz w:val="32"/>
          <w:szCs w:val="32"/>
        </w:rPr>
        <w:t>53</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，与上年相比，增加53万元，增长100%，增加的主要原因是：增加大中型水库移民后期扶持移民补助支出。</w:t>
      </w:r>
      <w:bookmarkEnd w:id="44"/>
      <w:bookmarkStart w:id="46" w:name="OLE_LINK23"/>
      <w:bookmarkStart w:id="47" w:name="OLE_LINK70"/>
      <w:r>
        <w:rPr>
          <w:rFonts w:hint="eastAsia" w:ascii="仿宋_GB2312" w:eastAsia="仿宋_GB2312"/>
          <w:color w:val="000000" w:themeColor="text1"/>
          <w:sz w:val="32"/>
          <w:szCs w:val="32"/>
          <w14:textFill>
            <w14:solidFill>
              <w14:schemeClr w14:val="tx1"/>
            </w14:solidFill>
          </w14:textFill>
        </w:rPr>
        <w:t>政府性基金预算支出</w:t>
      </w:r>
      <w:bookmarkEnd w:id="46"/>
      <w:r>
        <w:rPr>
          <w:rFonts w:hint="eastAsia" w:ascii="仿宋_GB2312" w:eastAsia="仿宋_GB2312"/>
          <w:sz w:val="32"/>
          <w:szCs w:val="32"/>
        </w:rPr>
        <w:t>53</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，与上年相比，增加53万元，增长100%，增加的主要原因是：增加大中型水库移民后期扶持移民补助支出。</w:t>
      </w:r>
      <w:bookmarkEnd w:id="47"/>
      <w:r>
        <w:rPr>
          <w:rFonts w:hint="eastAsia" w:ascii="仿宋_GB2312" w:eastAsia="仿宋_GB2312"/>
          <w:color w:val="000000" w:themeColor="text1"/>
          <w:sz w:val="32"/>
          <w:szCs w:val="32"/>
          <w14:textFill>
            <w14:solidFill>
              <w14:schemeClr w14:val="tx1"/>
            </w14:solidFill>
          </w14:textFill>
        </w:rPr>
        <w:t>其中：</w:t>
      </w:r>
      <w:bookmarkStart w:id="48" w:name="OLE_LINK24"/>
      <w:r>
        <w:rPr>
          <w:rFonts w:hint="eastAsia" w:ascii="仿宋_GB2312" w:eastAsia="仿宋_GB2312"/>
          <w:color w:val="000000" w:themeColor="text1"/>
          <w:sz w:val="32"/>
          <w:szCs w:val="32"/>
          <w14:textFill>
            <w14:solidFill>
              <w14:schemeClr w14:val="tx1"/>
            </w14:solidFill>
          </w14:textFill>
        </w:rPr>
        <w:t>按功能分类科目（按类级科目公开）</w:t>
      </w:r>
      <w:bookmarkEnd w:id="48"/>
      <w:r>
        <w:rPr>
          <w:rFonts w:hint="eastAsia" w:ascii="仿宋_GB2312" w:eastAsia="仿宋_GB2312"/>
          <w:color w:val="000000" w:themeColor="text1"/>
          <w:sz w:val="32"/>
          <w:szCs w:val="32"/>
          <w14:textFill>
            <w14:solidFill>
              <w14:schemeClr w14:val="tx1"/>
            </w14:solidFill>
          </w14:textFill>
        </w:rPr>
        <w:t>，社会保障和就业支出53万元。按经济分类科目（按类级科目公开），对个人和家庭的补助53万元。</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49" w:name="OLE_LINK71"/>
      <w:bookmarkStart w:id="50" w:name="OLE_LINK72"/>
      <w:r>
        <w:rPr>
          <w:rFonts w:hint="eastAsia" w:ascii="仿宋_GB2312" w:eastAsia="仿宋_GB2312"/>
          <w:color w:val="000000" w:themeColor="text1"/>
          <w:sz w:val="32"/>
          <w:szCs w:val="32"/>
          <w14:textFill>
            <w14:solidFill>
              <w14:schemeClr w14:val="tx1"/>
            </w14:solidFill>
          </w14:textFill>
        </w:rPr>
        <w:t>与年初预算数相比情况：政府性基金预算财政拨款收入年初预算数53万元，决算数</w:t>
      </w:r>
      <w:r>
        <w:rPr>
          <w:rFonts w:ascii="仿宋_GB2312" w:eastAsia="仿宋_GB2312"/>
          <w:color w:val="000000" w:themeColor="text1"/>
          <w:sz w:val="32"/>
          <w:szCs w:val="32"/>
          <w14:textFill>
            <w14:solidFill>
              <w14:schemeClr w14:val="tx1"/>
            </w14:solidFill>
          </w14:textFill>
        </w:rPr>
        <w:t>53</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，预决算差异率0%，差异主要原因是政府性基金专款专用于大中型水库移民后期扶持移民补助支出。</w:t>
      </w:r>
      <w:bookmarkEnd w:id="49"/>
      <w:bookmarkEnd w:id="50"/>
      <w:bookmarkStart w:id="51" w:name="OLE_LINK73"/>
      <w:r>
        <w:rPr>
          <w:rFonts w:hint="eastAsia" w:ascii="仿宋_GB2312" w:eastAsia="仿宋_GB2312"/>
          <w:color w:val="000000" w:themeColor="text1"/>
          <w:sz w:val="32"/>
          <w:szCs w:val="32"/>
          <w14:textFill>
            <w14:solidFill>
              <w14:schemeClr w14:val="tx1"/>
            </w14:solidFill>
          </w14:textFill>
        </w:rPr>
        <w:t>政府性基金预算财政拨款支出年初预算数53万元，决算数</w:t>
      </w:r>
      <w:r>
        <w:rPr>
          <w:rFonts w:ascii="仿宋_GB2312" w:eastAsia="仿宋_GB2312"/>
          <w:color w:val="000000" w:themeColor="text1"/>
          <w:sz w:val="32"/>
          <w:szCs w:val="32"/>
          <w14:textFill>
            <w14:solidFill>
              <w14:schemeClr w14:val="tx1"/>
            </w14:solidFill>
          </w14:textFill>
        </w:rPr>
        <w:t>53</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，预决算差异率0%，差异主要原因是政府性基金专款专用于大中型水库移民后期扶持移民补助支出。</w:t>
      </w:r>
      <w:bookmarkEnd w:id="51"/>
    </w:p>
    <w:p>
      <w:pPr>
        <w:spacing w:line="54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三、部门结转结余情况</w:t>
      </w:r>
    </w:p>
    <w:p>
      <w:pPr>
        <w:spacing w:line="540" w:lineRule="exact"/>
        <w:ind w:firstLine="640" w:firstLineChars="200"/>
        <w:rPr>
          <w:rFonts w:ascii="仿宋_GB2312" w:eastAsia="仿宋_GB2312"/>
          <w:sz w:val="32"/>
          <w:szCs w:val="32"/>
        </w:rPr>
      </w:pPr>
      <w:bookmarkStart w:id="52" w:name="OLE_LINK26"/>
      <w:bookmarkStart w:id="53" w:name="OLE_LINK25"/>
      <w:r>
        <w:rPr>
          <w:rFonts w:hint="eastAsia" w:ascii="仿宋_GB2312" w:eastAsia="仿宋_GB2312"/>
          <w:sz w:val="32"/>
          <w:szCs w:val="32"/>
        </w:rPr>
        <w:t>年末结转结余0万元。与上年相比，减少0万元，降低0%。</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其中财政拨款结转结余0万元。与上年相比，减少0万元，降低0%。</w:t>
      </w:r>
      <w:bookmarkEnd w:id="52"/>
      <w:bookmarkEnd w:id="53"/>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sz w:val="32"/>
          <w:szCs w:val="32"/>
        </w:rPr>
      </w:pPr>
      <w:bookmarkStart w:id="54" w:name="OLE_LINK74"/>
      <w:r>
        <w:rPr>
          <w:rFonts w:hint="eastAsia" w:ascii="仿宋_GB2312" w:eastAsia="仿宋_GB2312"/>
          <w:sz w:val="32"/>
          <w:szCs w:val="32"/>
        </w:rPr>
        <w:t>2018年度一般公共预算“三公”经费支出决算61.85万元，比上年减少29.63万元，降低32.39%，减少原因是压减经费,坚持厉行节俭政策，计划性支出。其中，因公出国（境）费支出0万元，占0%，比上年减少0万元，降低0%，减少原因是未安排此项预算；公务用车购置及运行维护费支出29.53万元，占47.74%，比上年减少19.87万元，降低40.22%，减少原因是压减经费,坚持厉行节俭政策，计划性支出；公务接待费支出32.32万元，占52.26%，比上年减少9.76万元，降低23.19%，减少原因是压减经费,坚持厉行节俭政策，计划性支出。具体情况如下：</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因公出国（境）费支出0万元。新疆喀什地区英吉沙县人民政府单位全年使用一般公共预算财政拨款安排的出国（境）团组0个，累计0人次。开支内容包括：</w:t>
      </w:r>
      <w:r>
        <w:rPr>
          <w:rFonts w:ascii="仿宋_GB2312" w:eastAsia="仿宋_GB2312"/>
          <w:color w:val="000000" w:themeColor="text1"/>
          <w:sz w:val="32"/>
          <w:szCs w:val="32"/>
          <w14:textFill>
            <w14:solidFill>
              <w14:schemeClr w14:val="tx1"/>
            </w14:solidFill>
          </w14:textFill>
        </w:rPr>
        <w:t>未安排此项预算。</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公务用车购置及运行维护费29.53万元,其中，公务用车购置0万元，公务用车运行维护费29.53万元。主要用于公务用车燃油、维修保养和保险费用支出</w:t>
      </w:r>
      <w:r>
        <w:rPr>
          <w:rFonts w:hint="eastAsia" w:ascii="仿宋_GB2312" w:eastAsia="仿宋_GB2312"/>
          <w:color w:val="000000" w:themeColor="text1"/>
          <w:sz w:val="32"/>
          <w:szCs w:val="32"/>
          <w14:textFill>
            <w14:solidFill>
              <w14:schemeClr w14:val="tx1"/>
            </w14:solidFill>
          </w14:textFill>
        </w:rPr>
        <w:t>等。</w:t>
      </w:r>
      <w:r>
        <w:rPr>
          <w:rFonts w:hint="eastAsia" w:ascii="仿宋_GB2312" w:eastAsia="仿宋_GB2312"/>
          <w:sz w:val="32"/>
          <w:szCs w:val="32"/>
        </w:rPr>
        <w:t>单位一般公共财政拨款安排的公务用车购置量0辆，保有量为24辆。</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公务接待费32.32万元。具体是：国内公务接待支出32.32万元，主要是其他县市、企业考察观摩，上级部门检查指导工作的接待支出等。新疆喀什地区英吉沙县人民政府单位国内公务接待273批次，568人次。</w:t>
      </w:r>
    </w:p>
    <w:p>
      <w:pPr>
        <w:spacing w:line="54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与年初预算数相比情况：一般公共预算“三公”经费支出年初预算数61.85万元，决算数61.85万元，预决算差异率0%，差异主要原因</w:t>
      </w:r>
      <w:r>
        <w:rPr>
          <w:rFonts w:ascii="仿宋_GB2312" w:eastAsia="仿宋_GB2312"/>
          <w:color w:val="000000" w:themeColor="text1"/>
          <w:sz w:val="32"/>
          <w:szCs w:val="32"/>
          <w14:textFill>
            <w14:solidFill>
              <w14:schemeClr w14:val="tx1"/>
            </w14:solidFill>
          </w14:textFill>
        </w:rPr>
        <w:t>坚持厉行节俭政策，计划性支出</w:t>
      </w:r>
      <w:r>
        <w:rPr>
          <w:rFonts w:hint="eastAsia" w:ascii="仿宋_GB2312" w:eastAsia="仿宋_GB2312"/>
          <w:sz w:val="32"/>
          <w:szCs w:val="32"/>
        </w:rPr>
        <w:t>。</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预算数0万元，决算数0万元，预决算差异率0%，差异主要原因</w:t>
      </w:r>
      <w:r>
        <w:rPr>
          <w:rFonts w:ascii="仿宋_GB2312" w:eastAsia="仿宋_GB2312"/>
          <w:color w:val="000000" w:themeColor="text1"/>
          <w:sz w:val="32"/>
          <w:szCs w:val="32"/>
          <w14:textFill>
            <w14:solidFill>
              <w14:schemeClr w14:val="tx1"/>
            </w14:solidFill>
          </w14:textFill>
        </w:rPr>
        <w:t>未安排此项预算</w:t>
      </w:r>
      <w:r>
        <w:rPr>
          <w:rFonts w:hint="eastAsia" w:ascii="仿宋_GB2312" w:eastAsia="仿宋_GB2312"/>
          <w:sz w:val="32"/>
          <w:szCs w:val="32"/>
        </w:rPr>
        <w:t>；</w:t>
      </w:r>
      <w:r>
        <w:rPr>
          <w:rFonts w:hint="eastAsia" w:ascii="仿宋_GB2312" w:hAnsi="宋体" w:eastAsia="仿宋_GB2312" w:cs="宋体"/>
          <w:kern w:val="0"/>
          <w:sz w:val="32"/>
          <w:szCs w:val="32"/>
        </w:rPr>
        <w:t>公务用车购置</w:t>
      </w:r>
      <w:r>
        <w:rPr>
          <w:rFonts w:hint="eastAsia" w:ascii="仿宋_GB2312" w:eastAsia="仿宋_GB2312"/>
          <w:sz w:val="32"/>
          <w:szCs w:val="32"/>
        </w:rPr>
        <w:t>预算数0万元，决算数0万元，预决算差异率0%，差异主要原因</w:t>
      </w:r>
      <w:r>
        <w:rPr>
          <w:rFonts w:ascii="仿宋_GB2312" w:eastAsia="仿宋_GB2312"/>
          <w:color w:val="000000" w:themeColor="text1"/>
          <w:sz w:val="32"/>
          <w:szCs w:val="32"/>
          <w14:textFill>
            <w14:solidFill>
              <w14:schemeClr w14:val="tx1"/>
            </w14:solidFill>
          </w14:textFill>
        </w:rPr>
        <w:t>是未安排此项预算</w:t>
      </w:r>
      <w:r>
        <w:rPr>
          <w:rFonts w:hint="eastAsia" w:ascii="仿宋_GB2312" w:eastAsia="仿宋_GB2312"/>
          <w:sz w:val="32"/>
          <w:szCs w:val="32"/>
        </w:rPr>
        <w:t>；</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预算数29.53万元，决算数29.53万元，预决算差异率0%，差异主要原因</w:t>
      </w:r>
      <w:r>
        <w:rPr>
          <w:rFonts w:ascii="仿宋_GB2312" w:eastAsia="仿宋_GB2312"/>
          <w:color w:val="000000" w:themeColor="text1"/>
          <w:sz w:val="32"/>
          <w:szCs w:val="32"/>
          <w14:textFill>
            <w14:solidFill>
              <w14:schemeClr w14:val="tx1"/>
            </w14:solidFill>
          </w14:textFill>
        </w:rPr>
        <w:t>坚持厉行节俭政策，计划性支出</w:t>
      </w:r>
      <w:r>
        <w:rPr>
          <w:rFonts w:hint="eastAsia" w:ascii="仿宋_GB2312" w:eastAsia="仿宋_GB2312"/>
          <w:sz w:val="32"/>
          <w:szCs w:val="32"/>
        </w:rPr>
        <w:t>；</w:t>
      </w:r>
      <w:r>
        <w:rPr>
          <w:rFonts w:hint="eastAsia" w:ascii="仿宋_GB2312" w:hAnsi="宋体" w:eastAsia="仿宋_GB2312" w:cs="宋体"/>
          <w:kern w:val="0"/>
          <w:sz w:val="32"/>
          <w:szCs w:val="32"/>
        </w:rPr>
        <w:t>公务接待费</w:t>
      </w:r>
      <w:r>
        <w:rPr>
          <w:rFonts w:hint="eastAsia" w:ascii="仿宋_GB2312" w:eastAsia="仿宋_GB2312"/>
          <w:sz w:val="32"/>
          <w:szCs w:val="32"/>
        </w:rPr>
        <w:t>预算数32.32万元，决算数32.32万元，预决算差异率0%，差异主要原因</w:t>
      </w:r>
      <w:r>
        <w:rPr>
          <w:rFonts w:ascii="仿宋_GB2312" w:eastAsia="仿宋_GB2312"/>
          <w:color w:val="000000" w:themeColor="text1"/>
          <w:sz w:val="32"/>
          <w:szCs w:val="32"/>
          <w14:textFill>
            <w14:solidFill>
              <w14:schemeClr w14:val="tx1"/>
            </w14:solidFill>
          </w14:textFill>
        </w:rPr>
        <w:t>坚持厉行节俭政策，计划性支出</w:t>
      </w:r>
      <w:r>
        <w:rPr>
          <w:rFonts w:hint="eastAsia" w:ascii="仿宋_GB2312" w:eastAsia="仿宋_GB2312"/>
          <w:sz w:val="32"/>
          <w:szCs w:val="32"/>
        </w:rPr>
        <w:t>。</w:t>
      </w:r>
    </w:p>
    <w:bookmarkEnd w:id="54"/>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2018年度新疆喀什地区英吉沙县人民政府机关运行经费支出170.1万元，与上年相比，减少12.31万元，下降6.75%，减少的主要原因是：压减经费,坚持厉行节俭政策，计划性支出，以前年度已购置了办公区各项设备，本年投入相应减少。</w:t>
      </w:r>
    </w:p>
    <w:p>
      <w:pPr>
        <w:spacing w:line="54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六、政府采购情况</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2018年度</w:t>
      </w:r>
      <w:bookmarkStart w:id="55" w:name="OLE_LINK45"/>
      <w:r>
        <w:rPr>
          <w:rFonts w:hint="eastAsia" w:ascii="仿宋_GB2312" w:eastAsia="仿宋_GB2312"/>
          <w:color w:val="000000" w:themeColor="text1"/>
          <w:sz w:val="32"/>
          <w:szCs w:val="32"/>
          <w14:textFill>
            <w14:solidFill>
              <w14:schemeClr w14:val="tx1"/>
            </w14:solidFill>
          </w14:textFill>
        </w:rPr>
        <w:t>政府采购支出总额</w:t>
      </w:r>
      <w:bookmarkEnd w:id="55"/>
      <w:r>
        <w:rPr>
          <w:rFonts w:hint="eastAsia" w:ascii="仿宋_GB2312" w:eastAsia="仿宋_GB2312"/>
          <w:sz w:val="32"/>
          <w:szCs w:val="32"/>
        </w:rPr>
        <w:t>149.77</w:t>
      </w:r>
      <w:r>
        <w:rPr>
          <w:rFonts w:hint="eastAsia" w:ascii="仿宋_GB2312" w:eastAsia="仿宋_GB2312"/>
          <w:color w:val="000000" w:themeColor="text1"/>
          <w:sz w:val="32"/>
          <w:szCs w:val="32"/>
          <w14:textFill>
            <w14:solidFill>
              <w14:schemeClr w14:val="tx1"/>
            </w14:solidFill>
          </w14:textFill>
        </w:rPr>
        <w:t>万元，其中：</w:t>
      </w:r>
      <w:bookmarkStart w:id="56" w:name="OLE_LINK46"/>
      <w:r>
        <w:rPr>
          <w:rFonts w:hint="eastAsia" w:ascii="仿宋_GB2312" w:eastAsia="仿宋_GB2312"/>
          <w:color w:val="000000" w:themeColor="text1"/>
          <w:sz w:val="32"/>
          <w:szCs w:val="32"/>
          <w14:textFill>
            <w14:solidFill>
              <w14:schemeClr w14:val="tx1"/>
            </w14:solidFill>
          </w14:textFill>
        </w:rPr>
        <w:t>政府采购货物支出</w:t>
      </w:r>
      <w:bookmarkEnd w:id="56"/>
      <w:r>
        <w:rPr>
          <w:rFonts w:hint="eastAsia" w:ascii="仿宋_GB2312" w:eastAsia="仿宋_GB2312"/>
          <w:sz w:val="32"/>
          <w:szCs w:val="32"/>
        </w:rPr>
        <w:t>149.15</w:t>
      </w:r>
      <w:r>
        <w:rPr>
          <w:rFonts w:hint="eastAsia" w:ascii="仿宋_GB2312" w:eastAsia="仿宋_GB2312"/>
          <w:color w:val="000000" w:themeColor="text1"/>
          <w:sz w:val="32"/>
          <w:szCs w:val="32"/>
          <w14:textFill>
            <w14:solidFill>
              <w14:schemeClr w14:val="tx1"/>
            </w14:solidFill>
          </w14:textFill>
        </w:rPr>
        <w:t>万元、</w:t>
      </w:r>
      <w:bookmarkStart w:id="57" w:name="OLE_LINK47"/>
      <w:r>
        <w:rPr>
          <w:rFonts w:hint="eastAsia" w:ascii="仿宋_GB2312" w:eastAsia="仿宋_GB2312"/>
          <w:color w:val="000000" w:themeColor="text1"/>
          <w:sz w:val="32"/>
          <w:szCs w:val="32"/>
          <w14:textFill>
            <w14:solidFill>
              <w14:schemeClr w14:val="tx1"/>
            </w14:solidFill>
          </w14:textFill>
        </w:rPr>
        <w:t>政府采购工程支出</w:t>
      </w:r>
      <w:bookmarkEnd w:id="57"/>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bookmarkStart w:id="58" w:name="OLE_LINK48"/>
      <w:r>
        <w:rPr>
          <w:rFonts w:hint="eastAsia" w:ascii="仿宋_GB2312" w:eastAsia="仿宋_GB2312"/>
          <w:color w:val="000000" w:themeColor="text1"/>
          <w:sz w:val="32"/>
          <w:szCs w:val="32"/>
          <w14:textFill>
            <w14:solidFill>
              <w14:schemeClr w14:val="tx1"/>
            </w14:solidFill>
          </w14:textFill>
        </w:rPr>
        <w:t>政府采购服务支出</w:t>
      </w:r>
      <w:bookmarkEnd w:id="58"/>
      <w:r>
        <w:rPr>
          <w:rFonts w:hint="eastAsia" w:ascii="仿宋_GB2312" w:eastAsia="仿宋_GB2312"/>
          <w:sz w:val="32"/>
          <w:szCs w:val="32"/>
        </w:rPr>
        <w:t>0.62</w:t>
      </w:r>
      <w:r>
        <w:rPr>
          <w:rFonts w:hint="eastAsia" w:ascii="仿宋_GB2312" w:eastAsia="仿宋_GB2312"/>
          <w:color w:val="000000" w:themeColor="text1"/>
          <w:sz w:val="32"/>
          <w:szCs w:val="32"/>
          <w14:textFill>
            <w14:solidFill>
              <w14:schemeClr w14:val="tx1"/>
            </w14:solidFill>
          </w14:textFill>
        </w:rPr>
        <w:t>万元。</w:t>
      </w:r>
    </w:p>
    <w:p>
      <w:pPr>
        <w:spacing w:line="54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七、其他重要事项的情况</w:t>
      </w:r>
    </w:p>
    <w:p>
      <w:pPr>
        <w:spacing w:line="540" w:lineRule="exact"/>
        <w:ind w:firstLine="643" w:firstLineChars="200"/>
        <w:rPr>
          <w:rFonts w:ascii="楷体_GB2312" w:eastAsia="楷体_GB2312"/>
          <w:b/>
          <w:bCs/>
          <w:color w:val="000000" w:themeColor="text1"/>
          <w:sz w:val="32"/>
          <w:szCs w:val="32"/>
          <w14:textFill>
            <w14:solidFill>
              <w14:schemeClr w14:val="tx1"/>
            </w14:solidFill>
          </w14:textFill>
        </w:rPr>
      </w:pPr>
      <w:r>
        <w:rPr>
          <w:rFonts w:hint="eastAsia" w:ascii="楷体_GB2312" w:eastAsia="楷体_GB2312"/>
          <w:b/>
          <w:bCs/>
          <w:color w:val="000000" w:themeColor="text1"/>
          <w:sz w:val="32"/>
          <w:szCs w:val="32"/>
          <w14:textFill>
            <w14:solidFill>
              <w14:schemeClr w14:val="tx1"/>
            </w14:solidFill>
          </w14:textFill>
        </w:rPr>
        <w:t>（一）国有资产占用情况说明</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59" w:name="OLE_LINK97"/>
      <w:r>
        <w:rPr>
          <w:rFonts w:hint="eastAsia" w:ascii="仿宋_GB2312" w:eastAsia="仿宋_GB2312"/>
          <w:color w:val="000000" w:themeColor="text1"/>
          <w:sz w:val="32"/>
          <w:szCs w:val="32"/>
          <w14:textFill>
            <w14:solidFill>
              <w14:schemeClr w14:val="tx1"/>
            </w14:solidFill>
          </w14:textFill>
        </w:rPr>
        <w:t>截至2018年12月31日，单位共有车辆</w:t>
      </w:r>
      <w:r>
        <w:rPr>
          <w:rFonts w:hint="eastAsia" w:ascii="仿宋_GB2312" w:eastAsia="仿宋_GB2312"/>
          <w:sz w:val="32"/>
          <w:szCs w:val="32"/>
        </w:rPr>
        <w:t>24</w:t>
      </w:r>
      <w:r>
        <w:rPr>
          <w:rFonts w:hint="eastAsia" w:ascii="仿宋_GB2312" w:eastAsia="仿宋_GB2312"/>
          <w:color w:val="000000" w:themeColor="text1"/>
          <w:sz w:val="32"/>
          <w:szCs w:val="32"/>
          <w14:textFill>
            <w14:solidFill>
              <w14:schemeClr w14:val="tx1"/>
            </w14:solidFill>
          </w14:textFill>
        </w:rPr>
        <w:t>辆，价值</w:t>
      </w:r>
      <w:r>
        <w:rPr>
          <w:rFonts w:hint="eastAsia" w:ascii="仿宋_GB2312" w:eastAsia="仿宋_GB2312"/>
          <w:sz w:val="32"/>
          <w:szCs w:val="32"/>
        </w:rPr>
        <w:t>424.7</w:t>
      </w:r>
      <w:r>
        <w:rPr>
          <w:rFonts w:hint="eastAsia" w:ascii="仿宋_GB2312" w:eastAsia="仿宋_GB2312"/>
          <w:color w:val="000000" w:themeColor="text1"/>
          <w:sz w:val="32"/>
          <w:szCs w:val="32"/>
          <w14:textFill>
            <w14:solidFill>
              <w14:schemeClr w14:val="tx1"/>
            </w14:solidFill>
          </w14:textFill>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辆、主要领导干部用车</w:t>
      </w:r>
      <w:r>
        <w:rPr>
          <w:rFonts w:ascii="仿宋_GB2312" w:eastAsia="仿宋_GB2312"/>
          <w:color w:val="000000" w:themeColor="text1"/>
          <w:sz w:val="32"/>
          <w:szCs w:val="32"/>
          <w14:textFill>
            <w14:solidFill>
              <w14:schemeClr w14:val="tx1"/>
            </w14:solidFill>
          </w14:textFill>
        </w:rPr>
        <w:t>7</w:t>
      </w:r>
      <w:r>
        <w:rPr>
          <w:rFonts w:hint="eastAsia" w:ascii="仿宋_GB2312" w:eastAsia="仿宋_GB2312"/>
          <w:color w:val="000000" w:themeColor="text1"/>
          <w:sz w:val="32"/>
          <w:szCs w:val="32"/>
          <w14:textFill>
            <w14:solidFill>
              <w14:schemeClr w14:val="tx1"/>
            </w14:solidFill>
          </w14:textFill>
        </w:rPr>
        <w:t>辆、机要通信用车</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辆、应急保障用车</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辆、执法执勤用车</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辆、离退休干部用车</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辆、其他用车</w:t>
      </w:r>
      <w:r>
        <w:rPr>
          <w:rFonts w:ascii="仿宋_GB2312" w:eastAsia="仿宋_GB2312"/>
          <w:color w:val="000000" w:themeColor="text1"/>
          <w:sz w:val="32"/>
          <w:szCs w:val="32"/>
          <w14:textFill>
            <w14:solidFill>
              <w14:schemeClr w14:val="tx1"/>
            </w14:solidFill>
          </w14:textFill>
        </w:rPr>
        <w:t>17</w:t>
      </w:r>
      <w:r>
        <w:rPr>
          <w:rFonts w:hint="eastAsia" w:ascii="仿宋_GB2312" w:eastAsia="仿宋_GB2312"/>
          <w:color w:val="000000" w:themeColor="text1"/>
          <w:sz w:val="32"/>
          <w:szCs w:val="32"/>
          <w14:textFill>
            <w14:solidFill>
              <w14:schemeClr w14:val="tx1"/>
            </w14:solidFill>
          </w14:textFill>
        </w:rPr>
        <w:t>辆，其他用车主要是：</w:t>
      </w:r>
      <w:r>
        <w:rPr>
          <w:rFonts w:ascii="仿宋_GB2312" w:eastAsia="仿宋_GB2312"/>
          <w:color w:val="000000" w:themeColor="text1"/>
          <w:sz w:val="32"/>
          <w:szCs w:val="32"/>
          <w14:textFill>
            <w14:solidFill>
              <w14:schemeClr w14:val="tx1"/>
            </w14:solidFill>
          </w14:textFill>
        </w:rPr>
        <w:t>单位公务用车；</w:t>
      </w:r>
      <w:r>
        <w:rPr>
          <w:rFonts w:hint="eastAsia" w:ascii="仿宋_GB2312" w:eastAsia="仿宋_GB2312"/>
          <w:color w:val="000000" w:themeColor="text1"/>
          <w:sz w:val="32"/>
          <w:szCs w:val="32"/>
          <w14:textFill>
            <w14:solidFill>
              <w14:schemeClr w14:val="tx1"/>
            </w14:solidFill>
          </w14:textFill>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台（套）。</w:t>
      </w:r>
      <w:bookmarkEnd w:id="59"/>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 英吉沙县人民政府(政府办公室2018年度部门预算总额为5,461.42万元，执行金额为5,461.42万元，预算执行率为100%。本次自评共涉及项目数1</w:t>
      </w:r>
      <w:r>
        <w:rPr>
          <w:rFonts w:hint="eastAsia" w:ascii="仿宋_GB2312" w:eastAsia="仿宋_GB2312"/>
          <w:sz w:val="32"/>
          <w:szCs w:val="32"/>
          <w:lang w:val="en-US" w:eastAsia="zh-CN"/>
        </w:rPr>
        <w:t>3</w:t>
      </w:r>
      <w:r>
        <w:rPr>
          <w:rFonts w:ascii="仿宋_GB2312" w:eastAsia="仿宋_GB2312"/>
          <w:sz w:val="32"/>
          <w:szCs w:val="32"/>
        </w:rPr>
        <w:t>个，其中已完成项目1</w:t>
      </w:r>
      <w:r>
        <w:rPr>
          <w:rFonts w:hint="eastAsia" w:ascii="仿宋_GB2312" w:eastAsia="仿宋_GB2312"/>
          <w:sz w:val="32"/>
          <w:szCs w:val="32"/>
          <w:lang w:val="en-US" w:eastAsia="zh-CN"/>
        </w:rPr>
        <w:t>3</w:t>
      </w:r>
      <w:r>
        <w:rPr>
          <w:rFonts w:ascii="仿宋_GB2312" w:eastAsia="仿宋_GB2312"/>
          <w:sz w:val="32"/>
          <w:szCs w:val="32"/>
        </w:rPr>
        <w:t>个、未完成项目0个，项目总体完成率为100%，各项目支出管理过程较为规范，预期绩效目标完成情况良好。通过本次自评全面总结了项目实施过程中的经验及不足，为2019年度预算绩效管理工作开展奠定基础。</w:t>
      </w:r>
    </w:p>
    <w:p>
      <w:pPr>
        <w:spacing w:line="540" w:lineRule="exact"/>
        <w:ind w:left="-1" w:right="-1" w:firstLine="646"/>
        <w:jc w:val="left"/>
      </w:pPr>
      <w:r>
        <w:rPr>
          <w:rFonts w:ascii="仿宋_GB2312" w:hAnsi="仿宋_GB2312" w:eastAsia="仿宋_GB2312" w:cs="仿宋_GB2312"/>
          <w:color w:val="000000"/>
          <w:sz w:val="32"/>
        </w:rPr>
        <w:t>1、英吉沙县扶贫办2018年农村合作社手工业配套资金项目绩效自评综述：根据年初设定的绩效目标，该项目绩效自评得分为85分。项目全年预算数为1,786.44万元，执行数为1,786.44万元，完成预算的100%。主要产出和效果：1．项目预算资金执行率 工程完成及时率100%，工程验收合格率100%。 2．项目产出指标 设备及配套设施1968台，项目竣工验收合格率100%，项目按期完成率100%。 3．项目效益指标 经济效益指标：解决贫困户就业1239人。 社会效益指标：对农产品进行加工，延长农产品储存时间30吨。 生态效益指标：解决了农村女性创业就业难题。 可持续影响指标：形成产供销产业链条，减少中间环节，让农户获得更多利益5年。发现的问题及原因：由于项目资金较少，有意愿农户较多，无法将所有农户兼顾。下一步改进措施： 积极争取项目资金，让广大有意愿种植林果的种植户受益；成立科技研发中心，加强对外交流；加强对果农的技术培训。</w:t>
      </w:r>
    </w:p>
    <w:p>
      <w:pPr>
        <w:spacing w:line="540" w:lineRule="exact"/>
        <w:ind w:left="-1" w:right="-1" w:firstLine="646"/>
        <w:jc w:val="left"/>
      </w:pPr>
      <w:r>
        <w:rPr>
          <w:rFonts w:ascii="仿宋_GB2312" w:hAnsi="仿宋_GB2312" w:eastAsia="仿宋_GB2312" w:cs="仿宋_GB2312"/>
          <w:color w:val="000000"/>
          <w:sz w:val="32"/>
        </w:rPr>
        <w:t>2、英吉沙县扶贫办2018年扶贫小额贷款贴息项目绩效自评综述：根据年初设定的绩效目标，该项目绩效自评得分为85分。项目全年预算数为1,778.79万元，执行数为1,778.79万元，完成预算的100%。主要产出和效果：到2020年，现行标准下的20182户、89364建档立卡贫困人口全部脱贫，稳</w:t>
      </w:r>
      <w:r>
        <w:rPr>
          <w:rFonts w:hint="eastAsia" w:ascii="仿宋_GB2312" w:hAnsi="仿宋_GB2312" w:eastAsia="仿宋_GB2312" w:cs="仿宋_GB2312"/>
          <w:color w:val="000000"/>
          <w:sz w:val="32"/>
        </w:rPr>
        <w:t>固</w:t>
      </w:r>
      <w:r>
        <w:rPr>
          <w:rFonts w:ascii="仿宋_GB2312" w:hAnsi="仿宋_GB2312" w:eastAsia="仿宋_GB2312" w:cs="仿宋_GB2312"/>
          <w:color w:val="000000"/>
          <w:sz w:val="32"/>
        </w:rPr>
        <w:t>实现不愁吃、不愁穿，义务教育、基本医疗和住房安全有保障，贫困对象人均可支配收入增长幅度高于全疆平均水平，基本公共服务领域主要指标接近全国平均水平。发现的问题及原因：1、对112户非建档立卡贫困户（包括自治区提取的96户）从2018年1月1日起停止了贴息，收回了以前年度享受的贴息，贷款做了回收或转为一般贷款处理；下一步改进措施： 以前是贫困户应该享受政策和项目，整改工作应该从清退之时起不再享受政策和项目，不应该追回是贫困户期间享受的政策和项目，也不应该用新政策去衡量和整改已形成的老工作。此项工作不仅关系到小额信贷的整改，也关系到所有政策和项目的整改。</w:t>
      </w:r>
    </w:p>
    <w:p>
      <w:pPr>
        <w:spacing w:line="540" w:lineRule="exact"/>
        <w:ind w:left="-1" w:right="-1" w:firstLine="646"/>
        <w:jc w:val="left"/>
      </w:pPr>
      <w:r>
        <w:rPr>
          <w:rFonts w:ascii="仿宋_GB2312" w:hAnsi="仿宋_GB2312" w:eastAsia="仿宋_GB2312" w:cs="仿宋_GB2312"/>
          <w:color w:val="000000"/>
          <w:sz w:val="32"/>
        </w:rPr>
        <w:t>3、农村基础设施建设项目绩效自评综述：根据年初设定的绩效目标，该项目绩效自评得分为85分。项目全年预算数为1,510.22万元，执行数为1,510.22万元，完成预算的100%。主要产出和效果：基本公共服务领域主要指标接近全国平均水平。贫困人口自我发展能力和生活水平全面提高，农村基本建成全面小康社会，为长治久安打下坚实基础。主要用于发展畜牧业、种植业及贫困户自主创业。发现的问题及原因：一是项目实施进度缓慢，导致资金支付进度慢。二是对于绩效评价的意义理解认识不深刻，对于扶贫资金开展绩效评价重视程度不够。 三是绩效评价体系不够完善，对于绩效评价的熟练掌握不深。下一步改进措施： 加强学习培训，提升业务能力。由于绩效评价工作要求高，工作量大，涉及项目业务、财务、效益待多方面的专业知识，对财政部门和各预算部门的机构能力和人员素质来说，无疑是一场严峻的考验，只有通过进行多方位多层次的学习培训，努力提高相关人员素质，才能真正将预算绩效管理工作落实到位。</w:t>
      </w:r>
    </w:p>
    <w:p>
      <w:pPr>
        <w:spacing w:line="540" w:lineRule="exact"/>
        <w:ind w:left="-1" w:right="-1" w:firstLine="646"/>
        <w:jc w:val="left"/>
      </w:pPr>
      <w:r>
        <w:rPr>
          <w:rFonts w:ascii="仿宋_GB2312" w:hAnsi="仿宋_GB2312" w:eastAsia="仿宋_GB2312" w:cs="仿宋_GB2312"/>
          <w:color w:val="000000"/>
          <w:sz w:val="32"/>
        </w:rPr>
        <w:t>4、其他水利支出项目绩效自评综述：根据年初设定的绩效目标，该项目绩效自评得分为85分。项目全年预算数为10万元，执行数为10万元，完成预算的100%。主要产出和效果：本项目共设置一级指标3个，二级指标4个，三级指标6个，其中已完成三级指标6个，指标完成率为100%。发现的问题及原因：不存在未完成情况:“2018年本项目绩效目标全部达成，不存在未完成原因分析。”下一步改进措施： 短期性项目主要分析项目的移交和后续管理；长期性项目主要分析下一年度计划及安排等。</w:t>
      </w:r>
    </w:p>
    <w:p>
      <w:pPr>
        <w:spacing w:line="540" w:lineRule="exact"/>
        <w:ind w:left="-1" w:right="-1" w:firstLine="646"/>
        <w:jc w:val="left"/>
      </w:pPr>
      <w:r>
        <w:rPr>
          <w:rFonts w:ascii="仿宋_GB2312" w:hAnsi="仿宋_GB2312" w:eastAsia="仿宋_GB2312" w:cs="仿宋_GB2312"/>
          <w:color w:val="000000"/>
          <w:sz w:val="32"/>
        </w:rPr>
        <w:t>5、水库移民后期扶持—芒申镇15村保鲜库项目绩效自评综述：根据年初设定的绩效目标，该项目绩效自评得分为98分。项目全年预算数为18.21万元，执行数为18.21万元，完成预算的100%。主要产出和效果：为水库移民带来经济效益。发现的问题及原因：无。下一步改进措施： 促进经济、社会可持续发展。</w:t>
      </w:r>
    </w:p>
    <w:p>
      <w:pPr>
        <w:spacing w:line="540" w:lineRule="exact"/>
        <w:ind w:left="-1" w:right="-1" w:firstLine="646"/>
        <w:jc w:val="left"/>
      </w:pPr>
      <w:r>
        <w:rPr>
          <w:rFonts w:hint="eastAsia" w:ascii="仿宋_GB2312" w:hAnsi="仿宋_GB2312" w:eastAsia="仿宋_GB2312" w:cs="仿宋_GB2312"/>
          <w:color w:val="000000"/>
          <w:sz w:val="32"/>
          <w:lang w:val="en-US" w:eastAsia="zh-CN"/>
        </w:rPr>
        <w:t>6</w:t>
      </w:r>
      <w:r>
        <w:rPr>
          <w:rFonts w:ascii="仿宋_GB2312" w:hAnsi="仿宋_GB2312" w:eastAsia="仿宋_GB2312" w:cs="仿宋_GB2312"/>
          <w:color w:val="000000"/>
          <w:sz w:val="32"/>
        </w:rPr>
        <w:t>、聘用驾驶员工资项目绩效自评综述：根据年初设定的绩效目标，该项目绩效自评得分为98分。项</w:t>
      </w:r>
      <w:bookmarkStart w:id="60" w:name="_GoBack"/>
      <w:bookmarkEnd w:id="60"/>
      <w:r>
        <w:rPr>
          <w:rFonts w:ascii="仿宋_GB2312" w:hAnsi="仿宋_GB2312" w:eastAsia="仿宋_GB2312" w:cs="仿宋_GB2312"/>
          <w:color w:val="000000"/>
          <w:sz w:val="32"/>
        </w:rPr>
        <w:t>目全年预算数为11.2万元，执行数为11.2万元，完成预算的100%。主要产出和效果：保障县处级领导的出差、下乡、招商引资、公务处理及使用。发现的问题及原因：无。下一步改进措施： 严格按照人员管理规定要求执行。</w:t>
      </w:r>
    </w:p>
    <w:p>
      <w:pPr>
        <w:spacing w:line="540" w:lineRule="exact"/>
        <w:ind w:left="-1" w:right="-1" w:firstLine="646"/>
        <w:jc w:val="left"/>
      </w:pPr>
      <w:r>
        <w:rPr>
          <w:rFonts w:hint="eastAsia" w:ascii="仿宋_GB2312" w:hAnsi="仿宋_GB2312" w:eastAsia="仿宋_GB2312" w:cs="仿宋_GB2312"/>
          <w:color w:val="000000"/>
          <w:sz w:val="32"/>
          <w:lang w:val="en-US" w:eastAsia="zh-CN"/>
        </w:rPr>
        <w:t>7</w:t>
      </w:r>
      <w:r>
        <w:rPr>
          <w:rFonts w:ascii="仿宋_GB2312" w:hAnsi="仿宋_GB2312" w:eastAsia="仿宋_GB2312" w:cs="仿宋_GB2312"/>
          <w:color w:val="000000"/>
          <w:sz w:val="32"/>
        </w:rPr>
        <w:t>、政府网站改版项目绩效自评综述：根据年初设定的绩效目标，该项目绩效自评得分为96分。项目全年预算数为39.5万元，执行数为37.53万元，完成预算的95.01%。主要产出和效果：英吉沙县政府网站软硬件全面升级、改版，符合自治区关于县、市门户网站的规定和要求，全面提升为群众服务的质量。发现的问题及原因：无。下一步改进措施： 进一步完善预期指标。</w:t>
      </w:r>
    </w:p>
    <w:p>
      <w:pPr>
        <w:spacing w:line="540" w:lineRule="exact"/>
        <w:ind w:left="-1" w:right="-1" w:firstLine="646"/>
        <w:jc w:val="left"/>
      </w:pPr>
      <w:r>
        <w:rPr>
          <w:rFonts w:hint="eastAsia" w:ascii="仿宋_GB2312" w:hAnsi="仿宋_GB2312" w:eastAsia="仿宋_GB2312" w:cs="仿宋_GB2312"/>
          <w:color w:val="000000"/>
          <w:sz w:val="32"/>
          <w:lang w:val="en-US" w:eastAsia="zh-CN"/>
        </w:rPr>
        <w:t>8</w:t>
      </w:r>
      <w:r>
        <w:rPr>
          <w:rFonts w:ascii="仿宋_GB2312" w:hAnsi="仿宋_GB2312" w:eastAsia="仿宋_GB2312" w:cs="仿宋_GB2312"/>
          <w:color w:val="000000"/>
          <w:sz w:val="32"/>
        </w:rPr>
        <w:t>、能源节约利用项目绩效自评综述：根据年初设定的绩效目标，该项目绩效自评得分为95分。项目全年预算数为50.81万元，执行数为50.81万元，完成预算的100%。主要产出和效果：为全县4个乡11个自然村安装太阳能路灯，确保村民夜间的出行安全，为贫困村脱贫致富提供基础保障。发现的问题及原因：无。下一步改进措施： 进一步完善预期指标。</w:t>
      </w:r>
    </w:p>
    <w:p>
      <w:pPr>
        <w:spacing w:line="540" w:lineRule="exact"/>
        <w:ind w:left="-1" w:right="-1" w:firstLine="646"/>
        <w:jc w:val="left"/>
      </w:pPr>
      <w:r>
        <w:rPr>
          <w:rFonts w:hint="eastAsia" w:ascii="仿宋_GB2312" w:hAnsi="仿宋_GB2312" w:eastAsia="仿宋_GB2312" w:cs="仿宋_GB2312"/>
          <w:color w:val="000000"/>
          <w:sz w:val="32"/>
          <w:lang w:val="en-US" w:eastAsia="zh-CN"/>
        </w:rPr>
        <w:t>9</w:t>
      </w:r>
      <w:r>
        <w:rPr>
          <w:rFonts w:ascii="仿宋_GB2312" w:hAnsi="仿宋_GB2312" w:eastAsia="仿宋_GB2312" w:cs="仿宋_GB2312"/>
          <w:color w:val="000000"/>
          <w:sz w:val="32"/>
        </w:rPr>
        <w:t>、活动场所维修、粉刷项目绩效自评综述：根据年初设定的绩效目标，该项目绩效自评得分为85分。项目全年预算数为11.1万元，执行数为11.1万元，完成预算的100%。主要产出和效果：本项目共设置一级指标1个，指标完成率为100%。 经济性：保证场所安全开展活动。 效率性：结合工作实际按时完成项目。 效益性：保证场所安全开展活动。发现的问题及原因：不存在未完成情况:2018年本项目绩效目标全部达成，不存在未完成原因分析。下一步改进措施： 继续保证场所安全、卫生整洁。</w:t>
      </w:r>
    </w:p>
    <w:p>
      <w:pPr>
        <w:spacing w:line="540" w:lineRule="exact"/>
        <w:ind w:left="-1" w:right="-1" w:firstLine="646"/>
        <w:jc w:val="left"/>
      </w:pPr>
      <w:r>
        <w:rPr>
          <w:rFonts w:ascii="仿宋_GB2312" w:hAnsi="仿宋_GB2312" w:eastAsia="仿宋_GB2312" w:cs="仿宋_GB2312"/>
          <w:color w:val="000000"/>
          <w:sz w:val="32"/>
        </w:rPr>
        <w:t>1</w:t>
      </w:r>
      <w:r>
        <w:rPr>
          <w:rFonts w:hint="eastAsia" w:ascii="仿宋_GB2312" w:hAnsi="仿宋_GB2312" w:eastAsia="仿宋_GB2312" w:cs="仿宋_GB2312"/>
          <w:color w:val="000000"/>
          <w:sz w:val="32"/>
          <w:lang w:val="en-US" w:eastAsia="zh-CN"/>
        </w:rPr>
        <w:t>0</w:t>
      </w:r>
      <w:r>
        <w:rPr>
          <w:rFonts w:ascii="仿宋_GB2312" w:hAnsi="仿宋_GB2312" w:eastAsia="仿宋_GB2312" w:cs="仿宋_GB2312"/>
          <w:color w:val="000000"/>
          <w:sz w:val="32"/>
        </w:rPr>
        <w:t>、英吉沙县扶贫办2018年农村合作社手工业配套项目绩效自评综述：根据年初设定的绩效目标，该项目绩效自评得分为85分。项目全年预算数为116.1万元，执行数为116.1万元，完成预算的100%。主要产出和效果：1．项目预算资金执行率 工程完成及时率100%，工程验收合格率100%。 2．项目产出指标 设备及配套设施120台，项目竣工验收合格率100%，项目按期完成率100%。 3．项目效益指标 经济效益指标：解决贫困户就业800余人。 社会效益指标：对农产品进行加工，延长农产品储存时间30吨。 生态效益指标：解决了农村女性创业就业难题。 可持续影响指标：形成产供销产业链条，减少中间环节，让农户获得更多利益5年。 4．满意度指标 群众非常满意。发现的问题及原因：由于项目资金较少，有意愿农户较多，无法将所有农户兼顾。下一步改进措施： 积极争取项目资金，让广大有意愿种植林果的种植户受益；成立科技研发中心，加强对外交流；加强对果农的技术培训。</w:t>
      </w:r>
    </w:p>
    <w:p>
      <w:pPr>
        <w:spacing w:line="540" w:lineRule="exact"/>
        <w:ind w:left="-1" w:right="-1" w:firstLine="646"/>
        <w:jc w:val="left"/>
      </w:pPr>
      <w:r>
        <w:rPr>
          <w:rFonts w:ascii="仿宋_GB2312" w:hAnsi="仿宋_GB2312" w:eastAsia="仿宋_GB2312" w:cs="仿宋_GB2312"/>
          <w:color w:val="000000"/>
          <w:sz w:val="32"/>
        </w:rPr>
        <w:t>1</w:t>
      </w:r>
      <w:r>
        <w:rPr>
          <w:rFonts w:hint="eastAsia" w:ascii="仿宋_GB2312" w:hAnsi="仿宋_GB2312" w:eastAsia="仿宋_GB2312" w:cs="仿宋_GB2312"/>
          <w:color w:val="000000"/>
          <w:sz w:val="32"/>
          <w:lang w:val="en-US" w:eastAsia="zh-CN"/>
        </w:rPr>
        <w:t>1</w:t>
      </w:r>
      <w:r>
        <w:rPr>
          <w:rFonts w:ascii="仿宋_GB2312" w:hAnsi="仿宋_GB2312" w:eastAsia="仿宋_GB2312" w:cs="仿宋_GB2312"/>
          <w:color w:val="000000"/>
          <w:sz w:val="32"/>
        </w:rPr>
        <w:t>、英吉沙县扶贫办2018年自治区大中型水库移民补助基金项目绩效自评综述：根据年初设定的绩效目标，该项目绩效自评得分为85分。项目全年预算数为100.74万元，执行数为100.74万元，完成预算的100%。主要产出和效果：1.经济效益。项目实施后移民群众收入提高约7.8%，生活水平得到改善，生活质量有所提高；助力喀什地区脱贫攻坚“五个一批”增收措施，为库区群众家园环境美化和发展庭院经济，实现群众脱贫提供有力基础。 2.社会效益。解决群众最关心、最直接、最现实的利益问题，尤其是打赢脱贫攻坚战，不让一人掉队，才能不断增强群众的获得感。我县是深度贫困县，库区群众人均直接享受扶持资金600元，着实有力地激发了库区群众生产生活的积极性，切实增强了群众获得感。发现的问题及原因：本项目绩效目标全部达成，不存在未完成原因分析。下一步改进措施： 项目由移民办自主组织实施，加强资金管理，人员申请审核，确保资金发放精准、发挥效益，带动贫困户脱贫减贫，组织部进行抽检，确保精准到户。</w:t>
      </w:r>
    </w:p>
    <w:p>
      <w:pPr>
        <w:spacing w:line="540" w:lineRule="exact"/>
        <w:ind w:left="-1" w:right="-1" w:firstLine="646"/>
        <w:jc w:val="left"/>
      </w:pPr>
      <w:r>
        <w:rPr>
          <w:rFonts w:ascii="仿宋_GB2312" w:hAnsi="仿宋_GB2312" w:eastAsia="仿宋_GB2312" w:cs="仿宋_GB2312"/>
          <w:color w:val="000000"/>
          <w:sz w:val="32"/>
        </w:rPr>
        <w:t>1</w:t>
      </w:r>
      <w:r>
        <w:rPr>
          <w:rFonts w:hint="eastAsia" w:ascii="仿宋_GB2312" w:hAnsi="仿宋_GB2312" w:eastAsia="仿宋_GB2312" w:cs="仿宋_GB2312"/>
          <w:color w:val="000000"/>
          <w:sz w:val="32"/>
          <w:lang w:val="en-US" w:eastAsia="zh-CN"/>
        </w:rPr>
        <w:t>2</w:t>
      </w:r>
      <w:r>
        <w:rPr>
          <w:rFonts w:ascii="仿宋_GB2312" w:hAnsi="仿宋_GB2312" w:eastAsia="仿宋_GB2312" w:cs="仿宋_GB2312"/>
          <w:color w:val="000000"/>
          <w:sz w:val="32"/>
        </w:rPr>
        <w:t>、政府办公室办公费项目绩效自评综述：根据年初设定的绩效目标，该项目绩效自评得分为98分。项目全年预算数为20万元，执行数为20万元，完成预算的100%。主要产出和效果：保障政府办公室办公、差旅、接待、邮电、公车维护，办公楼水、电、暖及县处级领导的出差、培训、招商引资、公务处理及使用。发现的问题及原因：无。下一步改进措施： 进一步完善预期指标。</w:t>
      </w:r>
    </w:p>
    <w:p>
      <w:pPr>
        <w:spacing w:line="540" w:lineRule="exact"/>
        <w:ind w:left="-1" w:right="-1" w:firstLine="646"/>
        <w:jc w:val="left"/>
      </w:pPr>
      <w:r>
        <w:rPr>
          <w:rFonts w:ascii="仿宋_GB2312" w:hAnsi="仿宋_GB2312" w:eastAsia="仿宋_GB2312" w:cs="仿宋_GB2312"/>
          <w:color w:val="000000"/>
          <w:sz w:val="32"/>
        </w:rPr>
        <w:t>1</w:t>
      </w:r>
      <w:r>
        <w:rPr>
          <w:rFonts w:hint="eastAsia" w:ascii="仿宋_GB2312" w:hAnsi="仿宋_GB2312" w:eastAsia="仿宋_GB2312" w:cs="仿宋_GB2312"/>
          <w:color w:val="000000"/>
          <w:sz w:val="32"/>
          <w:lang w:val="en-US" w:eastAsia="zh-CN"/>
        </w:rPr>
        <w:t>3</w:t>
      </w:r>
      <w:r>
        <w:rPr>
          <w:rFonts w:ascii="仿宋_GB2312" w:hAnsi="仿宋_GB2312" w:eastAsia="仿宋_GB2312" w:cs="仿宋_GB2312"/>
          <w:color w:val="000000"/>
          <w:sz w:val="32"/>
        </w:rPr>
        <w:t>、英吉沙县劳务输出中心附属工程项目绩效自评综述：根据年初设定的绩效目标，该项目绩效自评得分为95分。项目全年预算数为10万元，执行数为10万元，完成预算的100%。主要产出和效果：英吉沙县劳务输出中心办公楼周围硬化。发现的问题及原因：无。下一步改进措施： 项目已验收合格。</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本单位支出功能分类说明</w:t>
      </w:r>
      <w:r>
        <w:rPr>
          <w:rFonts w:hint="eastAsia" w:ascii="仿宋_GB2312" w:hAnsi="Calibri" w:eastAsia="仿宋_GB2312"/>
          <w:color w:val="000000" w:themeColor="text1"/>
          <w:sz w:val="32"/>
          <w:szCs w:val="32"/>
          <w:lang w:val="en-GB"/>
          <w14:textFill>
            <w14:solidFill>
              <w14:schemeClr w14:val="tx1"/>
            </w14:solidFill>
          </w14:textFill>
        </w:rPr>
        <w:t>。</w:t>
      </w:r>
      <w:r>
        <w:rPr>
          <w:rFonts w:hint="eastAsia" w:ascii="仿宋_GB2312" w:eastAsia="仿宋_GB2312"/>
          <w:sz w:val="32"/>
          <w:szCs w:val="32"/>
        </w:rPr>
        <w:t>213（类）05（款）02（项）指：一般行政管理事务。213（类）03（款）34（项）指：水利建设移民支出。213（类）05（款）05（项）指：生产发展。221（类）02（款）01（项）指：住房公积金。213（类）05（款）04（项）指：农村基础设施建设。211（类）10（款）01（项）指：能源节约利用。213（类）03（款）99（项）指：其他水利支出。208（类）05（款）05（项）指：机关事业单位基本养老保险缴费支出。201（类）05（款）01（项）指：行政运行。201（类）03（款）02（项）指：一般行政管理事务。201（类）03（款）07（项）指：法制建设。208（类）22（款）01（项）指：移民补助。213（类）05（款）07（项）指：扶贫贷款奖补和贴息。201（类）24（款）01（项）指：行政运行。201（类）24（款）02（项）指：一般行政管理事务。201（类）03（款）01（项）指：行政运行。201（类）24（款）99（项）指：其他宗教事务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ascii="仿宋_GB2312" w:eastAsia="仿宋_GB2312"/>
          <w:sz w:val="32"/>
          <w:szCs w:val="32"/>
        </w:rPr>
      </w:pPr>
    </w:p>
    <w:p>
      <w:pPr>
        <w:spacing w:line="540" w:lineRule="exact"/>
        <w:ind w:firstLine="640" w:firstLineChars="200"/>
        <w:rPr>
          <w:rFonts w:ascii="仿宋_GB2312" w:eastAsia="仿宋_GB2312"/>
          <w:sz w:val="32"/>
          <w:szCs w:val="32"/>
        </w:rPr>
      </w:pPr>
    </w:p>
    <w:p>
      <w:pPr>
        <w:spacing w:line="540" w:lineRule="exact"/>
        <w:ind w:firstLine="640" w:firstLineChars="200"/>
        <w:rPr>
          <w:rFonts w:ascii="仿宋_GB2312" w:eastAsia="仿宋_GB2312"/>
          <w:sz w:val="32"/>
          <w:szCs w:val="32"/>
        </w:rPr>
      </w:pPr>
    </w:p>
    <w:p>
      <w:pPr>
        <w:spacing w:line="540" w:lineRule="exact"/>
        <w:ind w:firstLine="640" w:firstLineChars="200"/>
        <w:rPr>
          <w:rFonts w:ascii="仿宋_GB2312" w:eastAsia="仿宋_GB2312"/>
          <w:sz w:val="32"/>
          <w:szCs w:val="32"/>
        </w:rPr>
      </w:pPr>
    </w:p>
    <w:p>
      <w:pPr>
        <w:spacing w:line="540" w:lineRule="exact"/>
        <w:ind w:firstLine="640" w:firstLineChars="200"/>
        <w:rPr>
          <w:rFonts w:ascii="仿宋_GB2312" w:eastAsia="仿宋_GB2312"/>
          <w:sz w:val="32"/>
          <w:szCs w:val="32"/>
        </w:rPr>
      </w:pPr>
    </w:p>
    <w:p>
      <w:pPr>
        <w:spacing w:line="540" w:lineRule="exact"/>
        <w:ind w:firstLine="640" w:firstLineChars="200"/>
        <w:rPr>
          <w:rFonts w:ascii="仿宋_GB2312" w:eastAsia="仿宋_GB2312"/>
          <w:sz w:val="32"/>
          <w:szCs w:val="32"/>
        </w:rPr>
      </w:pPr>
    </w:p>
    <w:p>
      <w:pPr>
        <w:spacing w:line="540" w:lineRule="exact"/>
        <w:ind w:firstLine="3200" w:firstLineChars="1000"/>
        <w:jc w:val="center"/>
        <w:rPr>
          <w:rFonts w:ascii="仿宋_GB2312" w:eastAsia="仿宋_GB2312"/>
          <w:sz w:val="32"/>
          <w:szCs w:val="32"/>
        </w:rPr>
      </w:pPr>
      <w:r>
        <w:rPr>
          <w:rFonts w:ascii="仿宋_GB2312" w:eastAsia="仿宋_GB2312"/>
          <w:sz w:val="32"/>
          <w:szCs w:val="32"/>
        </w:rPr>
        <w:t>英吉沙县人民政府</w:t>
      </w:r>
    </w:p>
    <w:p>
      <w:pPr>
        <w:spacing w:line="540" w:lineRule="exact"/>
        <w:ind w:firstLine="3200" w:firstLineChars="1000"/>
        <w:jc w:val="center"/>
        <w:rPr>
          <w:rFonts w:ascii="仿宋_GB2312" w:eastAsia="仿宋_GB2312"/>
          <w:sz w:val="32"/>
          <w:szCs w:val="32"/>
        </w:rPr>
      </w:pPr>
      <w:r>
        <w:rPr>
          <w:rFonts w:hint="eastAsia" w:ascii="仿宋_GB2312" w:eastAsia="仿宋_GB2312"/>
          <w:sz w:val="32"/>
          <w:szCs w:val="32"/>
        </w:rPr>
        <w:t>2019年8月15日</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p>
    <w:p>
      <w:pPr>
        <w:spacing w:line="540" w:lineRule="exact"/>
        <w:ind w:firstLine="640" w:firstLineChars="200"/>
        <w:rPr>
          <w:rFonts w:ascii="仿宋_GB2312" w:eastAsia="仿宋_GB2312"/>
          <w:sz w:val="32"/>
          <w:szCs w:val="32"/>
        </w:rPr>
        <w:sectPr>
          <w:footerReference r:id="rId5" w:type="default"/>
          <w:footerReference r:id="rId6"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page" w:x="9631" w:y="37"/>
      <w:jc w:val="right"/>
      <w:rPr>
        <w:rStyle w:val="5"/>
        <w:rFonts w:ascii="宋体" w:hAnsi="宋体" w:eastAsia="宋体"/>
        <w:sz w:val="28"/>
      </w:rPr>
    </w:pPr>
    <w:r>
      <w:rPr>
        <w:rStyle w:val="5"/>
        <w:rFonts w:ascii="宋体" w:hAnsi="宋体" w:eastAsia="宋体"/>
        <w:sz w:val="28"/>
      </w:rPr>
      <w:fldChar w:fldCharType="begin"/>
    </w:r>
    <w:r>
      <w:rPr>
        <w:rStyle w:val="5"/>
        <w:rFonts w:ascii="宋体" w:hAnsi="宋体" w:eastAsia="宋体"/>
        <w:sz w:val="28"/>
      </w:rPr>
      <w:instrText xml:space="preserve"> PAGE </w:instrText>
    </w:r>
    <w:r>
      <w:rPr>
        <w:rStyle w:val="5"/>
        <w:rFonts w:ascii="宋体" w:hAnsi="宋体" w:eastAsia="宋体"/>
        <w:sz w:val="28"/>
      </w:rPr>
      <w:fldChar w:fldCharType="separate"/>
    </w:r>
    <w:r>
      <w:rPr>
        <w:rStyle w:val="5"/>
        <w:rFonts w:ascii="宋体" w:hAnsi="宋体" w:eastAsia="宋体"/>
        <w:sz w:val="28"/>
      </w:rPr>
      <w:t>- 5 -</w:t>
    </w:r>
    <w:r>
      <w:rPr>
        <w:rStyle w:val="5"/>
        <w:rFonts w:ascii="宋体" w:hAnsi="宋体" w:eastAsia="宋体"/>
        <w:sz w:val="28"/>
      </w:rPr>
      <w:fldChar w:fldCharType="end"/>
    </w:r>
    <w:r>
      <w:rPr>
        <w:rStyle w:val="5"/>
        <w:rFonts w:hint="eastAsia" w:ascii="宋体" w:hAnsi="宋体" w:eastAsia="宋体"/>
        <w:sz w:val="28"/>
      </w:rPr>
      <w:t xml:space="preserve"> </w:t>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page" w:x="1756" w:y="37"/>
      <w:rPr>
        <w:rStyle w:val="5"/>
        <w:rFonts w:ascii="宋体" w:hAnsi="宋体" w:eastAsia="宋体"/>
        <w:sz w:val="28"/>
        <w:szCs w:val="28"/>
      </w:rPr>
    </w:pPr>
    <w:r>
      <w:rPr>
        <w:rStyle w:val="5"/>
        <w:rFonts w:ascii="宋体" w:hAnsi="宋体" w:eastAsia="宋体"/>
        <w:sz w:val="28"/>
        <w:szCs w:val="28"/>
      </w:rPr>
      <w:fldChar w:fldCharType="begin"/>
    </w:r>
    <w:r>
      <w:rPr>
        <w:rStyle w:val="5"/>
        <w:rFonts w:ascii="宋体" w:hAnsi="宋体" w:eastAsia="宋体"/>
        <w:sz w:val="28"/>
        <w:szCs w:val="28"/>
      </w:rPr>
      <w:instrText xml:space="preserve">PAGE  </w:instrText>
    </w:r>
    <w:r>
      <w:rPr>
        <w:rStyle w:val="5"/>
        <w:rFonts w:ascii="宋体" w:hAnsi="宋体" w:eastAsia="宋体"/>
        <w:sz w:val="28"/>
        <w:szCs w:val="28"/>
      </w:rPr>
      <w:fldChar w:fldCharType="separate"/>
    </w:r>
    <w:r>
      <w:rPr>
        <w:rStyle w:val="5"/>
        <w:rFonts w:ascii="宋体" w:hAnsi="宋体" w:eastAsia="宋体"/>
        <w:sz w:val="28"/>
        <w:szCs w:val="28"/>
      </w:rPr>
      <w:t>- 12 -</w:t>
    </w:r>
    <w:r>
      <w:rPr>
        <w:rStyle w:val="5"/>
        <w:rFonts w:ascii="宋体" w:hAnsi="宋体" w:eastAsia="宋体"/>
        <w:sz w:val="28"/>
        <w:szCs w:val="28"/>
      </w:rPr>
      <w:fldChar w:fldCharType="end"/>
    </w:r>
  </w:p>
  <w:p>
    <w:pPr>
      <w:pStyle w:val="2"/>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page" w:x="9631" w:y="37"/>
      <w:jc w:val="right"/>
      <w:rPr>
        <w:rStyle w:val="5"/>
        <w:rFonts w:ascii="宋体" w:hAnsi="宋体" w:eastAsia="宋体"/>
        <w:sz w:val="28"/>
      </w:rPr>
    </w:pPr>
    <w:r>
      <w:rPr>
        <w:rStyle w:val="5"/>
        <w:rFonts w:ascii="宋体" w:hAnsi="宋体" w:eastAsia="宋体"/>
        <w:sz w:val="28"/>
      </w:rPr>
      <w:fldChar w:fldCharType="begin"/>
    </w:r>
    <w:r>
      <w:rPr>
        <w:rStyle w:val="5"/>
        <w:rFonts w:ascii="宋体" w:hAnsi="宋体" w:eastAsia="宋体"/>
        <w:sz w:val="28"/>
      </w:rPr>
      <w:instrText xml:space="preserve"> PAGE </w:instrText>
    </w:r>
    <w:r>
      <w:rPr>
        <w:rStyle w:val="5"/>
        <w:rFonts w:ascii="宋体" w:hAnsi="宋体" w:eastAsia="宋体"/>
        <w:sz w:val="28"/>
      </w:rPr>
      <w:fldChar w:fldCharType="separate"/>
    </w:r>
    <w:r>
      <w:rPr>
        <w:rStyle w:val="5"/>
        <w:rFonts w:ascii="宋体" w:hAnsi="宋体" w:eastAsia="宋体"/>
        <w:sz w:val="28"/>
      </w:rPr>
      <w:t>21</w:t>
    </w:r>
    <w:r>
      <w:rPr>
        <w:rStyle w:val="5"/>
        <w:rFonts w:ascii="宋体" w:hAnsi="宋体" w:eastAsia="宋体"/>
        <w:sz w:val="28"/>
      </w:rPr>
      <w:fldChar w:fldCharType="end"/>
    </w:r>
    <w:r>
      <w:rPr>
        <w:rStyle w:val="5"/>
        <w:rFonts w:hint="eastAsia" w:ascii="宋体" w:hAnsi="宋体" w:eastAsia="宋体"/>
        <w:sz w:val="28"/>
      </w:rPr>
      <w:t xml:space="preserve"> </w:t>
    </w:r>
  </w:p>
  <w:p>
    <w:pPr>
      <w:pStyle w:val="2"/>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page" w:x="1756" w:y="37"/>
      <w:rPr>
        <w:rStyle w:val="5"/>
        <w:rFonts w:ascii="宋体" w:hAnsi="宋体" w:eastAsia="宋体"/>
        <w:sz w:val="28"/>
        <w:szCs w:val="28"/>
      </w:rPr>
    </w:pPr>
    <w:r>
      <w:rPr>
        <w:rStyle w:val="5"/>
        <w:rFonts w:ascii="宋体" w:hAnsi="宋体" w:eastAsia="宋体"/>
        <w:sz w:val="28"/>
        <w:szCs w:val="28"/>
      </w:rPr>
      <w:fldChar w:fldCharType="begin"/>
    </w:r>
    <w:r>
      <w:rPr>
        <w:rStyle w:val="5"/>
        <w:rFonts w:ascii="宋体" w:hAnsi="宋体" w:eastAsia="宋体"/>
        <w:sz w:val="28"/>
        <w:szCs w:val="28"/>
      </w:rPr>
      <w:instrText xml:space="preserve">PAGE  </w:instrText>
    </w:r>
    <w:r>
      <w:rPr>
        <w:rStyle w:val="5"/>
        <w:rFonts w:ascii="宋体" w:hAnsi="宋体" w:eastAsia="宋体"/>
        <w:sz w:val="28"/>
        <w:szCs w:val="28"/>
      </w:rPr>
      <w:fldChar w:fldCharType="separate"/>
    </w:r>
    <w:r>
      <w:rPr>
        <w:rStyle w:val="5"/>
        <w:rFonts w:ascii="宋体" w:hAnsi="宋体" w:eastAsia="宋体"/>
        <w:sz w:val="28"/>
        <w:szCs w:val="28"/>
      </w:rPr>
      <w:t>- 12 -</w:t>
    </w:r>
    <w:r>
      <w:rPr>
        <w:rStyle w:val="5"/>
        <w:rFonts w:ascii="宋体" w:hAnsi="宋体" w:eastAsia="宋体"/>
        <w:sz w:val="28"/>
        <w:szCs w:val="28"/>
      </w:rPr>
      <w:fldChar w:fldCharType="end"/>
    </w:r>
  </w:p>
  <w:p>
    <w:pPr>
      <w:pStyle w:val="2"/>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03254E"/>
    <w:rsid w:val="000F7720"/>
    <w:rsid w:val="00423F73"/>
    <w:rsid w:val="00A908AD"/>
    <w:rsid w:val="2F565F33"/>
    <w:rsid w:val="41523533"/>
    <w:rsid w:val="5003254E"/>
    <w:rsid w:val="67A05D78"/>
    <w:rsid w:val="6D9C1C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eastAsia="黑体"/>
      <w:snapToGrid w:val="0"/>
      <w:kern w:val="0"/>
      <w:sz w:val="18"/>
      <w:szCs w:val="18"/>
    </w:rPr>
  </w:style>
  <w:style w:type="character" w:styleId="5">
    <w:name w:val="page number"/>
    <w:basedOn w:val="4"/>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21</Pages>
  <Words>1591</Words>
  <Characters>9073</Characters>
  <Lines>75</Lines>
  <Paragraphs>21</Paragraphs>
  <TotalTime>50</TotalTime>
  <ScaleCrop>false</ScaleCrop>
  <LinksUpToDate>false</LinksUpToDate>
  <CharactersWithSpaces>10643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2021-06-04T02:19:00Z</dcterms:created>
  <dc:creator>Lenovo</dc:creator>
  <cp:lastModifiedBy>Administrator</cp:lastModifiedBy>
  <dcterms:modified xsi:type="dcterms:W3CDTF">2021-07-13T16:22:09Z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B022885F42324D60AFB440D30DF74882</vt:lpwstr>
  </property>
</Properties>
</file>